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5325" w:rsidRPr="00F65730" w:rsidRDefault="00515325" w:rsidP="00515325">
      <w:pPr>
        <w:pStyle w:val="berschrift1"/>
        <w:spacing w:before="0" w:beforeAutospacing="0" w:after="240" w:afterAutospacing="0"/>
        <w:jc w:val="center"/>
        <w:rPr>
          <w:rFonts w:ascii="Garamond Premr Pro" w:eastAsia="Times New Roman" w:hAnsi="Garamond Premr Pro"/>
          <w:sz w:val="36"/>
          <w:szCs w:val="36"/>
          <w:lang w:val="de-DE"/>
        </w:rPr>
      </w:pPr>
      <w:r w:rsidRPr="00F65730">
        <w:rPr>
          <w:rFonts w:ascii="Garamond Premr Pro" w:eastAsia="Times New Roman" w:hAnsi="Garamond Premr Pro"/>
          <w:sz w:val="36"/>
          <w:szCs w:val="36"/>
          <w:lang w:val="de-DE"/>
        </w:rPr>
        <w:t>ORIENTIERUNGEN: Zeitschrift zur Kultur Asiens (OR)</w:t>
      </w:r>
    </w:p>
    <w:p w:rsidR="00515325" w:rsidRPr="00B436FC" w:rsidRDefault="00515325" w:rsidP="00515325">
      <w:pPr>
        <w:jc w:val="center"/>
        <w:rPr>
          <w:rFonts w:ascii="Garamond Premr Pro" w:hAnsi="Garamond Premr Pro"/>
          <w:lang w:val="de-DE"/>
        </w:rPr>
      </w:pPr>
      <w:r w:rsidRPr="00F65730">
        <w:rPr>
          <w:rFonts w:ascii="Garamond Premr Pro" w:hAnsi="Garamond Premr Pro"/>
          <w:lang w:val="de-DE"/>
        </w:rPr>
        <w:t>Herausgeber: Berthold DAMSHÄUSER, Harald MEYER und Dorothee SCHAAB-HANKE</w:t>
      </w:r>
    </w:p>
    <w:p w:rsidR="00515325" w:rsidRPr="00515325" w:rsidRDefault="00515325" w:rsidP="00515325">
      <w:pPr>
        <w:pStyle w:val="stil6"/>
        <w:spacing w:before="240" w:beforeAutospacing="0" w:after="120" w:afterAutospacing="0"/>
        <w:jc w:val="center"/>
        <w:rPr>
          <w:rFonts w:ascii="Garamond Premr Pro" w:hAnsi="Garamond Premr Pro"/>
          <w:sz w:val="32"/>
          <w:szCs w:val="32"/>
          <w:lang w:val="de-DE"/>
        </w:rPr>
      </w:pPr>
      <w:r w:rsidRPr="00515325">
        <w:rPr>
          <w:rFonts w:ascii="Garamond Premr Pro" w:hAnsi="Garamond Premr Pro"/>
          <w:b/>
          <w:bCs/>
          <w:sz w:val="32"/>
          <w:szCs w:val="32"/>
          <w:lang w:val="de-DE"/>
        </w:rPr>
        <w:t>Stylesheet</w:t>
      </w:r>
    </w:p>
    <w:p w:rsidR="00515325" w:rsidRPr="00F65730" w:rsidRDefault="00515325" w:rsidP="00515325">
      <w:pPr>
        <w:rPr>
          <w:rFonts w:ascii="Garamond Premr Pro" w:eastAsia="Times New Roman" w:hAnsi="Garamond Premr Pro"/>
          <w:lang w:val="de-DE"/>
        </w:rPr>
      </w:pPr>
      <w:r w:rsidRPr="00F65730">
        <w:rPr>
          <w:rFonts w:ascii="Garamond Premr Pro" w:eastAsia="Times New Roman" w:hAnsi="Garamond Premr Pro"/>
        </w:rPr>
        <w:pict>
          <v:rect id="_x0000_i1026" style="width:0;height:1.5pt" o:hralign="center" o:hrstd="t" o:hr="t" fillcolor="#a0a0a0" stroked="f"/>
        </w:pict>
      </w:r>
    </w:p>
    <w:p w:rsidR="00515325" w:rsidRPr="00B436FC" w:rsidRDefault="00515325" w:rsidP="00515325">
      <w:pPr>
        <w:rPr>
          <w:rFonts w:ascii="Garamond Premr Pro" w:eastAsia="Times New Roman" w:hAnsi="Garamond Premr Pro"/>
          <w:sz w:val="18"/>
          <w:szCs w:val="18"/>
          <w:lang w:val="de-DE"/>
        </w:rPr>
      </w:pPr>
      <w:r w:rsidRPr="00B436FC">
        <w:rPr>
          <w:rFonts w:ascii="Garamond Premr Pro" w:eastAsia="Times New Roman" w:hAnsi="Garamond Premr Pro"/>
          <w:sz w:val="18"/>
          <w:szCs w:val="18"/>
          <w:lang w:val="de-DE"/>
        </w:rPr>
        <w:t> </w:t>
      </w:r>
    </w:p>
    <w:p w:rsidR="008511D6" w:rsidRPr="00854499" w:rsidRDefault="008511D6" w:rsidP="00515325">
      <w:pPr>
        <w:pStyle w:val="StandardWeb"/>
        <w:spacing w:before="0" w:beforeAutospacing="0"/>
        <w:rPr>
          <w:lang w:val="de-DE"/>
        </w:rPr>
      </w:pPr>
      <w:r w:rsidRPr="00854499">
        <w:rPr>
          <w:lang w:val="de-DE"/>
        </w:rPr>
        <w:t xml:space="preserve">Bitte schicken Sie uns Ihren Beitrag sowohl als Word- (bzw. </w:t>
      </w:r>
      <w:proofErr w:type="spellStart"/>
      <w:r w:rsidRPr="00854499">
        <w:rPr>
          <w:lang w:val="de-DE"/>
        </w:rPr>
        <w:t>rpf</w:t>
      </w:r>
      <w:proofErr w:type="spellEnd"/>
      <w:r w:rsidRPr="00854499">
        <w:rPr>
          <w:lang w:val="de-DE"/>
        </w:rPr>
        <w:t xml:space="preserve">) als auch als </w:t>
      </w:r>
      <w:proofErr w:type="spellStart"/>
      <w:r w:rsidRPr="00854499">
        <w:rPr>
          <w:lang w:val="de-DE"/>
        </w:rPr>
        <w:t>pdf</w:t>
      </w:r>
      <w:proofErr w:type="spellEnd"/>
      <w:r w:rsidRPr="00854499">
        <w:rPr>
          <w:lang w:val="de-DE"/>
        </w:rPr>
        <w:t>-Datei.</w:t>
      </w:r>
    </w:p>
    <w:p w:rsidR="008511D6" w:rsidRPr="00854499" w:rsidRDefault="008511D6" w:rsidP="008511D6">
      <w:pPr>
        <w:pStyle w:val="StandardWeb"/>
        <w:rPr>
          <w:lang w:val="de-DE"/>
        </w:rPr>
      </w:pPr>
      <w:r w:rsidRPr="00854499">
        <w:rPr>
          <w:lang w:val="de-DE"/>
        </w:rPr>
        <w:t xml:space="preserve">Der Text sollte möglichst ohne weitere Formatierung, </w:t>
      </w:r>
      <w:proofErr w:type="spellStart"/>
      <w:r w:rsidRPr="00854499">
        <w:rPr>
          <w:lang w:val="de-DE"/>
        </w:rPr>
        <w:t>d.h</w:t>
      </w:r>
      <w:proofErr w:type="spellEnd"/>
      <w:r w:rsidRPr="00854499">
        <w:rPr>
          <w:lang w:val="de-DE"/>
        </w:rPr>
        <w:t xml:space="preserve"> als Fließtext, erfolgen.</w:t>
      </w:r>
    </w:p>
    <w:p w:rsidR="008511D6" w:rsidRPr="00854499" w:rsidRDefault="008511D6" w:rsidP="008511D6">
      <w:pPr>
        <w:pStyle w:val="StandardWeb"/>
        <w:rPr>
          <w:lang w:val="de-DE"/>
        </w:rPr>
      </w:pPr>
      <w:r w:rsidRPr="00854499">
        <w:rPr>
          <w:lang w:val="de-DE"/>
        </w:rPr>
        <w:t>Die Beiträge sollten den Umfang von 50</w:t>
      </w:r>
      <w:bookmarkStart w:id="0" w:name="_GoBack"/>
      <w:bookmarkEnd w:id="0"/>
      <w:r w:rsidRPr="00854499">
        <w:rPr>
          <w:lang w:val="de-DE"/>
        </w:rPr>
        <w:t>.000-60.000 Zeichen – dies entspricht ca. 20-25 Seiten im OR-Format – in der Regel nicht überschreiten.</w:t>
      </w:r>
    </w:p>
    <w:p w:rsidR="008511D6" w:rsidRPr="00854499" w:rsidRDefault="008511D6" w:rsidP="008511D6">
      <w:pPr>
        <w:pStyle w:val="StandardWeb"/>
        <w:rPr>
          <w:lang w:val="de-DE"/>
        </w:rPr>
      </w:pPr>
      <w:r w:rsidRPr="00854499">
        <w:rPr>
          <w:lang w:val="de-DE"/>
        </w:rPr>
        <w:t>Bitte bereiten Sie ein separates Literaturverzeichnis am Ende des Beitrags vor.</w:t>
      </w:r>
    </w:p>
    <w:p w:rsidR="008511D6" w:rsidRPr="00854499" w:rsidRDefault="008511D6" w:rsidP="008511D6">
      <w:pPr>
        <w:pStyle w:val="StandardWeb"/>
        <w:rPr>
          <w:lang w:val="de-DE"/>
        </w:rPr>
      </w:pPr>
      <w:r w:rsidRPr="00854499">
        <w:rPr>
          <w:lang w:val="de-DE"/>
        </w:rPr>
        <w:t xml:space="preserve">Die Verweise in den Fußnoten sollten, vom ersten Zitieren an, Kurzverweise sein (Beispiel: </w:t>
      </w:r>
      <w:proofErr w:type="spellStart"/>
      <w:r w:rsidRPr="00854499">
        <w:rPr>
          <w:lang w:val="de-DE"/>
        </w:rPr>
        <w:t>Hymes</w:t>
      </w:r>
      <w:proofErr w:type="spellEnd"/>
      <w:r w:rsidRPr="00854499">
        <w:rPr>
          <w:lang w:val="de-DE"/>
        </w:rPr>
        <w:t xml:space="preserve"> 2014,5). Bei mehreren Autoren bitte Abtrennung durch „und“ (bzw. bei englischsprachigen Artikeln: „</w:t>
      </w:r>
      <w:proofErr w:type="spellStart"/>
      <w:r w:rsidRPr="00854499">
        <w:rPr>
          <w:lang w:val="de-DE"/>
        </w:rPr>
        <w:t>and</w:t>
      </w:r>
      <w:proofErr w:type="spellEnd"/>
      <w:r w:rsidRPr="00854499">
        <w:rPr>
          <w:lang w:val="de-DE"/>
        </w:rPr>
        <w:t xml:space="preserve">“) (Beispiel: </w:t>
      </w:r>
      <w:proofErr w:type="spellStart"/>
      <w:r w:rsidRPr="00854499">
        <w:rPr>
          <w:lang w:val="de-DE"/>
        </w:rPr>
        <w:t>Schirokauer</w:t>
      </w:r>
      <w:proofErr w:type="spellEnd"/>
      <w:r w:rsidRPr="00854499">
        <w:rPr>
          <w:lang w:val="de-DE"/>
        </w:rPr>
        <w:t xml:space="preserve"> </w:t>
      </w:r>
      <w:proofErr w:type="spellStart"/>
      <w:r w:rsidRPr="00854499">
        <w:rPr>
          <w:lang w:val="de-DE"/>
        </w:rPr>
        <w:t>and</w:t>
      </w:r>
      <w:proofErr w:type="spellEnd"/>
      <w:r w:rsidRPr="00854499">
        <w:rPr>
          <w:lang w:val="de-DE"/>
        </w:rPr>
        <w:t xml:space="preserve"> </w:t>
      </w:r>
      <w:proofErr w:type="spellStart"/>
      <w:r w:rsidRPr="00854499">
        <w:rPr>
          <w:lang w:val="de-DE"/>
        </w:rPr>
        <w:t>Hymes</w:t>
      </w:r>
      <w:proofErr w:type="spellEnd"/>
      <w:r w:rsidRPr="00854499">
        <w:rPr>
          <w:lang w:val="de-DE"/>
        </w:rPr>
        <w:t>).</w:t>
      </w:r>
    </w:p>
    <w:p w:rsidR="008511D6" w:rsidRPr="00854499" w:rsidRDefault="008511D6" w:rsidP="008511D6">
      <w:pPr>
        <w:pStyle w:val="StandardWeb"/>
        <w:rPr>
          <w:lang w:val="de-DE"/>
        </w:rPr>
      </w:pPr>
      <w:r w:rsidRPr="00854499">
        <w:rPr>
          <w:lang w:val="de-DE"/>
        </w:rPr>
        <w:t xml:space="preserve">Falls Sie von einem Autor mehrere Publikationen, die er in einem Jahr geschrieben hat, zitieren, fügen Sie bitte Nummern in runden Klammern hinzu (Beispiel: </w:t>
      </w:r>
      <w:proofErr w:type="spellStart"/>
      <w:r w:rsidRPr="00854499">
        <w:rPr>
          <w:lang w:val="de-DE"/>
        </w:rPr>
        <w:t>Hymes</w:t>
      </w:r>
      <w:proofErr w:type="spellEnd"/>
      <w:r w:rsidRPr="00854499">
        <w:rPr>
          <w:lang w:val="de-DE"/>
        </w:rPr>
        <w:t xml:space="preserve"> 2014 (1)) und nummerieren in gleicher Weise die Publikationen im Literaturverzeichnis durch.</w:t>
      </w:r>
    </w:p>
    <w:p w:rsidR="008511D6" w:rsidRPr="00854499" w:rsidRDefault="008511D6" w:rsidP="008511D6">
      <w:pPr>
        <w:pStyle w:val="StandardWeb"/>
        <w:rPr>
          <w:lang w:val="de-DE"/>
        </w:rPr>
      </w:pPr>
      <w:r w:rsidRPr="00854499">
        <w:rPr>
          <w:lang w:val="de-DE"/>
        </w:rPr>
        <w:t>Zu weiteren Beispielen, wie Verweise in den Fußnoten anzusetzen sind, siehe die unten aufgelisteten Beispiele:</w:t>
      </w:r>
    </w:p>
    <w:p w:rsidR="008511D6" w:rsidRPr="00854499" w:rsidRDefault="008511D6" w:rsidP="008511D6">
      <w:pPr>
        <w:pStyle w:val="StandardWeb"/>
        <w:divId w:val="804274812"/>
        <w:rPr>
          <w:lang w:val="de-DE"/>
        </w:rPr>
      </w:pPr>
      <w:proofErr w:type="spellStart"/>
      <w:r w:rsidRPr="00854499">
        <w:rPr>
          <w:lang w:val="de-DE"/>
        </w:rPr>
        <w:t>Bol</w:t>
      </w:r>
      <w:proofErr w:type="spellEnd"/>
      <w:r w:rsidRPr="00854499">
        <w:rPr>
          <w:lang w:val="de-DE"/>
        </w:rPr>
        <w:t xml:space="preserve"> 1982, 26; </w:t>
      </w:r>
      <w:proofErr w:type="spellStart"/>
      <w:r w:rsidRPr="00854499">
        <w:rPr>
          <w:lang w:val="de-DE"/>
        </w:rPr>
        <w:t>Bol</w:t>
      </w:r>
      <w:proofErr w:type="spellEnd"/>
      <w:r w:rsidRPr="00854499">
        <w:rPr>
          <w:lang w:val="de-DE"/>
        </w:rPr>
        <w:t xml:space="preserve"> 1992, 10-15; </w:t>
      </w:r>
      <w:proofErr w:type="spellStart"/>
      <w:r w:rsidRPr="00854499">
        <w:rPr>
          <w:lang w:val="de-DE"/>
        </w:rPr>
        <w:t>Bol</w:t>
      </w:r>
      <w:proofErr w:type="spellEnd"/>
      <w:r w:rsidRPr="00854499">
        <w:rPr>
          <w:lang w:val="de-DE"/>
        </w:rPr>
        <w:t xml:space="preserve"> 2001, 110; </w:t>
      </w:r>
      <w:proofErr w:type="spellStart"/>
      <w:r w:rsidRPr="00854499">
        <w:rPr>
          <w:lang w:val="de-DE"/>
        </w:rPr>
        <w:t>Bol</w:t>
      </w:r>
      <w:proofErr w:type="spellEnd"/>
      <w:r w:rsidRPr="00854499">
        <w:rPr>
          <w:lang w:val="de-DE"/>
        </w:rPr>
        <w:t xml:space="preserve"> 2009, 88; “</w:t>
      </w:r>
      <w:proofErr w:type="spellStart"/>
      <w:r w:rsidRPr="00854499">
        <w:rPr>
          <w:lang w:val="de-DE"/>
        </w:rPr>
        <w:t>Daren</w:t>
      </w:r>
      <w:proofErr w:type="spellEnd"/>
      <w:r w:rsidRPr="00854499">
        <w:rPr>
          <w:lang w:val="de-DE"/>
        </w:rPr>
        <w:t xml:space="preserve"> </w:t>
      </w:r>
      <w:proofErr w:type="spellStart"/>
      <w:r w:rsidRPr="00854499">
        <w:rPr>
          <w:lang w:val="de-DE"/>
        </w:rPr>
        <w:t>fu</w:t>
      </w:r>
      <w:proofErr w:type="spellEnd"/>
      <w:r w:rsidRPr="00854499">
        <w:rPr>
          <w:lang w:val="de-DE"/>
        </w:rPr>
        <w:t xml:space="preserve">”, 3057; D. B. Wagner 1993, 17; Feng 1998, 45; Feng 2004; G. Yang, 85; </w:t>
      </w:r>
      <w:proofErr w:type="spellStart"/>
      <w:r w:rsidRPr="00854499">
        <w:rPr>
          <w:lang w:val="de-DE"/>
        </w:rPr>
        <w:t>McMullen</w:t>
      </w:r>
      <w:proofErr w:type="spellEnd"/>
      <w:r w:rsidRPr="00854499">
        <w:rPr>
          <w:lang w:val="de-DE"/>
        </w:rPr>
        <w:t xml:space="preserve">, 113-118; </w:t>
      </w:r>
      <w:proofErr w:type="spellStart"/>
      <w:r w:rsidRPr="00854499">
        <w:rPr>
          <w:rStyle w:val="Hervorhebung"/>
          <w:lang w:val="de-DE"/>
        </w:rPr>
        <w:t>Mengliang</w:t>
      </w:r>
      <w:proofErr w:type="spellEnd"/>
      <w:r w:rsidRPr="00854499">
        <w:rPr>
          <w:rStyle w:val="Hervorhebung"/>
          <w:lang w:val="de-DE"/>
        </w:rPr>
        <w:t xml:space="preserve"> </w:t>
      </w:r>
      <w:proofErr w:type="spellStart"/>
      <w:r w:rsidRPr="00854499">
        <w:rPr>
          <w:rStyle w:val="Hervorhebung"/>
          <w:lang w:val="de-DE"/>
        </w:rPr>
        <w:t>lu</w:t>
      </w:r>
      <w:proofErr w:type="spellEnd"/>
      <w:r w:rsidRPr="00854499">
        <w:rPr>
          <w:lang w:val="de-DE"/>
        </w:rPr>
        <w:t xml:space="preserve"> 13/238 (</w:t>
      </w:r>
      <w:proofErr w:type="spellStart"/>
      <w:r w:rsidRPr="00854499">
        <w:rPr>
          <w:lang w:val="de-DE"/>
        </w:rPr>
        <w:t>tr</w:t>
      </w:r>
      <w:proofErr w:type="spellEnd"/>
      <w:r w:rsidRPr="00854499">
        <w:rPr>
          <w:lang w:val="de-DE"/>
        </w:rPr>
        <w:t xml:space="preserve">. </w:t>
      </w:r>
      <w:proofErr w:type="spellStart"/>
      <w:r w:rsidRPr="00854499">
        <w:rPr>
          <w:lang w:val="de-DE"/>
        </w:rPr>
        <w:t>Umehara</w:t>
      </w:r>
      <w:proofErr w:type="spellEnd"/>
      <w:r w:rsidRPr="00854499">
        <w:rPr>
          <w:lang w:val="de-DE"/>
        </w:rPr>
        <w:t xml:space="preserve">, vol. 2, 355); </w:t>
      </w:r>
      <w:proofErr w:type="spellStart"/>
      <w:r w:rsidRPr="00854499">
        <w:rPr>
          <w:lang w:val="de-DE"/>
        </w:rPr>
        <w:t>Mohorashi</w:t>
      </w:r>
      <w:proofErr w:type="spellEnd"/>
      <w:r w:rsidRPr="00854499">
        <w:rPr>
          <w:lang w:val="de-DE"/>
        </w:rPr>
        <w:t xml:space="preserve">, 432.6; </w:t>
      </w:r>
      <w:proofErr w:type="spellStart"/>
      <w:r w:rsidRPr="00854499">
        <w:rPr>
          <w:rStyle w:val="Hervorhebung"/>
          <w:lang w:val="de-DE"/>
        </w:rPr>
        <w:t>Nihon</w:t>
      </w:r>
      <w:proofErr w:type="spellEnd"/>
      <w:r w:rsidRPr="00854499">
        <w:rPr>
          <w:rStyle w:val="Hervorhebung"/>
          <w:lang w:val="de-DE"/>
        </w:rPr>
        <w:t xml:space="preserve"> </w:t>
      </w:r>
      <w:proofErr w:type="spellStart"/>
      <w:r w:rsidRPr="00854499">
        <w:rPr>
          <w:rStyle w:val="Hervorhebung"/>
          <w:lang w:val="de-DE"/>
        </w:rPr>
        <w:t>shoki</w:t>
      </w:r>
      <w:proofErr w:type="spellEnd"/>
      <w:r w:rsidRPr="00854499">
        <w:rPr>
          <w:lang w:val="de-DE"/>
        </w:rPr>
        <w:t xml:space="preserve"> 22 (vol. 3, 69, 98); Qian 1969, 55; R. G. Wagner 1980, 234; R. G. Wagner 2000, 32; </w:t>
      </w:r>
      <w:r w:rsidRPr="00854499">
        <w:rPr>
          <w:rStyle w:val="Hervorhebung"/>
          <w:lang w:val="de-DE"/>
        </w:rPr>
        <w:t>Shiji</w:t>
      </w:r>
      <w:r w:rsidRPr="00854499">
        <w:rPr>
          <w:lang w:val="de-DE"/>
        </w:rPr>
        <w:t xml:space="preserve"> 117.3056-3062; </w:t>
      </w:r>
      <w:proofErr w:type="spellStart"/>
      <w:r w:rsidRPr="00854499">
        <w:rPr>
          <w:lang w:val="de-DE"/>
        </w:rPr>
        <w:t>Tsien</w:t>
      </w:r>
      <w:proofErr w:type="spellEnd"/>
      <w:r w:rsidRPr="00854499">
        <w:rPr>
          <w:lang w:val="de-DE"/>
        </w:rPr>
        <w:t xml:space="preserve"> 1985, 203; </w:t>
      </w:r>
      <w:proofErr w:type="spellStart"/>
      <w:r w:rsidRPr="00854499">
        <w:rPr>
          <w:lang w:val="de-DE"/>
        </w:rPr>
        <w:t>Uehara</w:t>
      </w:r>
      <w:proofErr w:type="spellEnd"/>
      <w:r w:rsidRPr="00854499">
        <w:rPr>
          <w:lang w:val="de-DE"/>
        </w:rPr>
        <w:t xml:space="preserve"> 1967, </w:t>
      </w:r>
      <w:proofErr w:type="spellStart"/>
      <w:r w:rsidRPr="00854499">
        <w:rPr>
          <w:lang w:val="de-DE"/>
        </w:rPr>
        <w:t>part</w:t>
      </w:r>
      <w:proofErr w:type="spellEnd"/>
      <w:r w:rsidRPr="00854499">
        <w:rPr>
          <w:lang w:val="de-DE"/>
        </w:rPr>
        <w:t xml:space="preserve"> 1, 15; </w:t>
      </w:r>
      <w:proofErr w:type="spellStart"/>
      <w:r w:rsidRPr="00854499">
        <w:rPr>
          <w:lang w:val="de-DE"/>
        </w:rPr>
        <w:t>Uehara</w:t>
      </w:r>
      <w:proofErr w:type="spellEnd"/>
      <w:r w:rsidRPr="00854499">
        <w:rPr>
          <w:lang w:val="de-DE"/>
        </w:rPr>
        <w:t xml:space="preserve"> 1969, 105; X. S. Yang 2003, 134; Yang </w:t>
      </w:r>
      <w:proofErr w:type="spellStart"/>
      <w:r w:rsidRPr="00854499">
        <w:rPr>
          <w:lang w:val="de-DE"/>
        </w:rPr>
        <w:t>Xiaoshan</w:t>
      </w:r>
      <w:proofErr w:type="spellEnd"/>
      <w:r w:rsidRPr="00854499">
        <w:rPr>
          <w:lang w:val="de-DE"/>
        </w:rPr>
        <w:t xml:space="preserve"> 2009, 143; Yang </w:t>
      </w:r>
      <w:proofErr w:type="spellStart"/>
      <w:r w:rsidRPr="00854499">
        <w:rPr>
          <w:lang w:val="de-DE"/>
        </w:rPr>
        <w:t>Yinliu</w:t>
      </w:r>
      <w:proofErr w:type="spellEnd"/>
      <w:r w:rsidRPr="00854499">
        <w:rPr>
          <w:lang w:val="de-DE"/>
        </w:rPr>
        <w:t xml:space="preserve"> 1986, 23;</w:t>
      </w:r>
      <w:r w:rsidRPr="00854499">
        <w:rPr>
          <w:rStyle w:val="Hervorhebung"/>
          <w:lang w:val="de-DE"/>
        </w:rPr>
        <w:t xml:space="preserve"> </w:t>
      </w:r>
      <w:proofErr w:type="spellStart"/>
      <w:r w:rsidRPr="00854499">
        <w:rPr>
          <w:rStyle w:val="Hervorhebung"/>
          <w:lang w:val="de-DE"/>
        </w:rPr>
        <w:t>Yueshu</w:t>
      </w:r>
      <w:proofErr w:type="spellEnd"/>
      <w:r w:rsidRPr="00854499">
        <w:rPr>
          <w:lang w:val="de-DE"/>
        </w:rPr>
        <w:t xml:space="preserve"> 127.6ab (554); Zhao </w:t>
      </w:r>
      <w:proofErr w:type="spellStart"/>
      <w:r w:rsidRPr="00854499">
        <w:rPr>
          <w:lang w:val="de-DE"/>
        </w:rPr>
        <w:t>Debo</w:t>
      </w:r>
      <w:proofErr w:type="spellEnd"/>
      <w:r w:rsidRPr="00854499">
        <w:rPr>
          <w:lang w:val="de-DE"/>
        </w:rPr>
        <w:t xml:space="preserve"> 2010 (1), 142; Zhao </w:t>
      </w:r>
      <w:proofErr w:type="spellStart"/>
      <w:r w:rsidRPr="00854499">
        <w:rPr>
          <w:lang w:val="de-DE"/>
        </w:rPr>
        <w:t>Debo</w:t>
      </w:r>
      <w:proofErr w:type="spellEnd"/>
      <w:r w:rsidRPr="00854499">
        <w:rPr>
          <w:lang w:val="de-DE"/>
        </w:rPr>
        <w:t xml:space="preserve"> 2010 (2), 202; Zhao </w:t>
      </w:r>
      <w:proofErr w:type="spellStart"/>
      <w:r w:rsidRPr="00854499">
        <w:rPr>
          <w:lang w:val="de-DE"/>
        </w:rPr>
        <w:t>Yuqing</w:t>
      </w:r>
      <w:proofErr w:type="spellEnd"/>
      <w:r w:rsidRPr="00854499">
        <w:rPr>
          <w:lang w:val="de-DE"/>
        </w:rPr>
        <w:t xml:space="preserve"> 2010, 25. </w:t>
      </w:r>
    </w:p>
    <w:p w:rsidR="008511D6" w:rsidRPr="00854499" w:rsidRDefault="008511D6" w:rsidP="008511D6">
      <w:pPr>
        <w:pStyle w:val="StandardWeb"/>
        <w:rPr>
          <w:lang w:val="de-DE"/>
        </w:rPr>
      </w:pPr>
      <w:r w:rsidRPr="00854499">
        <w:rPr>
          <w:lang w:val="de-DE"/>
        </w:rPr>
        <w:t>Beispiele für Einträge im Literaturverzeichnis (unter Berücksichtigung unterschiedlicher Arten von Quellen, Primär- und Sekundärquellen integriert in eine alphabetische Liste/ Primärquellen und ältere Sekundärquellen nach Titel, moderne Sekundärliteratur nach Autor):</w:t>
      </w:r>
      <w:r w:rsidRPr="00854499">
        <w:rPr>
          <w:lang w:val="de-DE"/>
        </w:rPr>
        <w:br/>
        <w:t>[Monographien]</w:t>
      </w:r>
    </w:p>
    <w:p w:rsidR="008511D6" w:rsidRDefault="008511D6" w:rsidP="008511D6">
      <w:pPr>
        <w:pStyle w:val="StandardWeb"/>
        <w:divId w:val="453600615"/>
      </w:pPr>
      <w:proofErr w:type="spellStart"/>
      <w:r>
        <w:t>Bol</w:t>
      </w:r>
      <w:proofErr w:type="spellEnd"/>
      <w:r>
        <w:t xml:space="preserve">, Peter K. </w:t>
      </w:r>
      <w:r>
        <w:rPr>
          <w:rStyle w:val="Hervorhebung"/>
        </w:rPr>
        <w:t xml:space="preserve">This Culture of Ours: Intellectual Transitions in </w:t>
      </w:r>
      <w:proofErr w:type="spellStart"/>
      <w:r>
        <w:rPr>
          <w:rStyle w:val="Hervorhebung"/>
        </w:rPr>
        <w:t>T’ang</w:t>
      </w:r>
      <w:proofErr w:type="spellEnd"/>
      <w:r>
        <w:rPr>
          <w:rStyle w:val="Hervorhebung"/>
        </w:rPr>
        <w:t xml:space="preserve"> and Sung China</w:t>
      </w:r>
      <w:r>
        <w:t>. Stanford: Stanford University, 1992.</w:t>
      </w:r>
    </w:p>
    <w:p w:rsidR="008511D6" w:rsidRDefault="008511D6" w:rsidP="008511D6">
      <w:pPr>
        <w:pStyle w:val="StandardWeb"/>
        <w:divId w:val="453600615"/>
      </w:pPr>
      <w:r>
        <w:rPr>
          <w:rStyle w:val="Hervorhebung"/>
        </w:rPr>
        <w:t xml:space="preserve">Dai </w:t>
      </w:r>
      <w:proofErr w:type="spellStart"/>
      <w:r>
        <w:rPr>
          <w:rStyle w:val="Hervorhebung"/>
        </w:rPr>
        <w:t>Kan-Wa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jiten</w:t>
      </w:r>
      <w:proofErr w:type="spellEnd"/>
      <w:r>
        <w:t xml:space="preserve"> </w:t>
      </w:r>
      <w:r>
        <w:t>大漢和辞典</w:t>
      </w:r>
      <w:r>
        <w:t xml:space="preserve"> / </w:t>
      </w:r>
      <w:r>
        <w:rPr>
          <w:rStyle w:val="Hervorhebung"/>
        </w:rPr>
        <w:t>Comprehensive Chinese-Japanese Dictionary</w:t>
      </w:r>
      <w:r>
        <w:t xml:space="preserve">, hg. von </w:t>
      </w:r>
      <w:proofErr w:type="spellStart"/>
      <w:r>
        <w:t>Morohashi</w:t>
      </w:r>
      <w:proofErr w:type="spellEnd"/>
      <w:r>
        <w:t xml:space="preserve"> </w:t>
      </w:r>
      <w:proofErr w:type="spellStart"/>
      <w:r>
        <w:t>Tetsuji</w:t>
      </w:r>
      <w:proofErr w:type="spellEnd"/>
      <w:r>
        <w:t xml:space="preserve"> </w:t>
      </w:r>
      <w:r>
        <w:t>諸橋轍次</w:t>
      </w:r>
      <w:r>
        <w:t xml:space="preserve"> et al. Tōkyō: </w:t>
      </w:r>
      <w:proofErr w:type="spellStart"/>
      <w:r>
        <w:t>Taishūkan</w:t>
      </w:r>
      <w:proofErr w:type="spellEnd"/>
      <w:r>
        <w:t>, 1984–1986 (</w:t>
      </w:r>
      <w:proofErr w:type="spellStart"/>
      <w:r>
        <w:t>Überarbeitete</w:t>
      </w:r>
      <w:proofErr w:type="spellEnd"/>
      <w:r>
        <w:t xml:space="preserve"> und </w:t>
      </w:r>
      <w:proofErr w:type="spellStart"/>
      <w:r>
        <w:t>erweiterte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; </w:t>
      </w:r>
      <w:proofErr w:type="spellStart"/>
      <w:r>
        <w:t>Originalausgabe</w:t>
      </w:r>
      <w:proofErr w:type="spellEnd"/>
      <w:r>
        <w:t xml:space="preserve"> 1955–1960).</w:t>
      </w:r>
    </w:p>
    <w:p w:rsidR="008511D6" w:rsidRDefault="008511D6" w:rsidP="008511D6">
      <w:pPr>
        <w:pStyle w:val="StandardWeb"/>
        <w:divId w:val="453600615"/>
      </w:pPr>
      <w:proofErr w:type="spellStart"/>
      <w:r>
        <w:rPr>
          <w:rStyle w:val="Hervorhebung"/>
        </w:rPr>
        <w:t>Dongjing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menghua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lu</w:t>
      </w:r>
      <w:proofErr w:type="spellEnd"/>
      <w:r>
        <w:rPr>
          <w:rStyle w:val="Hervorhebung"/>
        </w:rPr>
        <w:t xml:space="preserve"> (</w:t>
      </w:r>
      <w:proofErr w:type="spellStart"/>
      <w:r>
        <w:rPr>
          <w:rStyle w:val="Hervorhebung"/>
        </w:rPr>
        <w:t>wai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sizhong</w:t>
      </w:r>
      <w:proofErr w:type="spellEnd"/>
      <w:r>
        <w:rPr>
          <w:rStyle w:val="Hervorhebung"/>
        </w:rPr>
        <w:t>)</w:t>
      </w:r>
      <w:r>
        <w:t xml:space="preserve"> </w:t>
      </w:r>
      <w:r>
        <w:t>東京夢華錄</w:t>
      </w:r>
      <w:r>
        <w:t xml:space="preserve"> (</w:t>
      </w:r>
      <w:r>
        <w:t>外四種</w:t>
      </w:r>
      <w:r>
        <w:t xml:space="preserve">). Shanghai: </w:t>
      </w:r>
      <w:proofErr w:type="spellStart"/>
      <w:r>
        <w:t>Gudian</w:t>
      </w:r>
      <w:proofErr w:type="spellEnd"/>
      <w:r>
        <w:t xml:space="preserve"> </w:t>
      </w:r>
      <w:proofErr w:type="spellStart"/>
      <w:r>
        <w:t>wenxue</w:t>
      </w:r>
      <w:proofErr w:type="spellEnd"/>
      <w:r>
        <w:t>, 1956.</w:t>
      </w:r>
    </w:p>
    <w:p w:rsidR="008511D6" w:rsidRDefault="008511D6" w:rsidP="008511D6">
      <w:pPr>
        <w:pStyle w:val="StandardWeb"/>
        <w:divId w:val="453600615"/>
      </w:pPr>
      <w:r>
        <w:lastRenderedPageBreak/>
        <w:t xml:space="preserve">Feng </w:t>
      </w:r>
      <w:proofErr w:type="spellStart"/>
      <w:r>
        <w:t>Zuozhe</w:t>
      </w:r>
      <w:proofErr w:type="spellEnd"/>
      <w:r>
        <w:t xml:space="preserve"> </w:t>
      </w:r>
      <w:r>
        <w:t>冯佐哲</w:t>
      </w:r>
      <w:r>
        <w:t xml:space="preserve">. </w:t>
      </w:r>
      <w:proofErr w:type="spellStart"/>
      <w:r>
        <w:rPr>
          <w:rStyle w:val="Hervorhebung"/>
        </w:rPr>
        <w:t>Qingdai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zhengzhi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yu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Zhong-wai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guanxi</w:t>
      </w:r>
      <w:proofErr w:type="spellEnd"/>
      <w:r>
        <w:t xml:space="preserve"> </w:t>
      </w:r>
      <w:r>
        <w:t>清代政治与中外关系</w:t>
      </w:r>
      <w:r>
        <w:t xml:space="preserve">. Beijing: </w:t>
      </w:r>
      <w:proofErr w:type="spellStart"/>
      <w:r>
        <w:t>Zhongguo</w:t>
      </w:r>
      <w:proofErr w:type="spellEnd"/>
      <w:r>
        <w:t xml:space="preserve"> </w:t>
      </w:r>
      <w:proofErr w:type="spellStart"/>
      <w:r>
        <w:t>shehui</w:t>
      </w:r>
      <w:proofErr w:type="spellEnd"/>
      <w:r>
        <w:t xml:space="preserve"> </w:t>
      </w:r>
      <w:proofErr w:type="spellStart"/>
      <w:r>
        <w:t>kexue</w:t>
      </w:r>
      <w:proofErr w:type="spellEnd"/>
      <w:r>
        <w:t>, 1998.</w:t>
      </w:r>
    </w:p>
    <w:p w:rsidR="008511D6" w:rsidRDefault="008511D6" w:rsidP="008511D6">
      <w:pPr>
        <w:pStyle w:val="StandardWeb"/>
        <w:divId w:val="453600615"/>
      </w:pPr>
      <w:r>
        <w:rPr>
          <w:rStyle w:val="Hervorhebung"/>
        </w:rPr>
        <w:t xml:space="preserve">Fuzhou </w:t>
      </w:r>
      <w:proofErr w:type="spellStart"/>
      <w:r>
        <w:rPr>
          <w:rStyle w:val="Hervorhebung"/>
        </w:rPr>
        <w:t>zhanggu</w:t>
      </w:r>
      <w:proofErr w:type="spellEnd"/>
      <w:r>
        <w:t xml:space="preserve"> </w:t>
      </w:r>
      <w:r>
        <w:t>福州掌故</w:t>
      </w:r>
      <w:r>
        <w:t xml:space="preserve">, hg. von Fuzhou </w:t>
      </w:r>
      <w:proofErr w:type="spellStart"/>
      <w:r>
        <w:t>zhanggu</w:t>
      </w:r>
      <w:proofErr w:type="spellEnd"/>
      <w:r>
        <w:t xml:space="preserve"> </w:t>
      </w:r>
      <w:proofErr w:type="spellStart"/>
      <w:r>
        <w:t>bianxiezu</w:t>
      </w:r>
      <w:proofErr w:type="spellEnd"/>
      <w:r>
        <w:t xml:space="preserve"> </w:t>
      </w:r>
      <w:r>
        <w:t>福州掌故编写组</w:t>
      </w:r>
      <w:r>
        <w:t xml:space="preserve">. Fuzhou: Fujian </w:t>
      </w:r>
      <w:proofErr w:type="spellStart"/>
      <w:r>
        <w:t>renmin</w:t>
      </w:r>
      <w:proofErr w:type="spellEnd"/>
      <w:r>
        <w:t xml:space="preserve">, 1998. </w:t>
      </w:r>
    </w:p>
    <w:p w:rsidR="008511D6" w:rsidRDefault="008511D6" w:rsidP="008511D6">
      <w:pPr>
        <w:pStyle w:val="StandardWeb"/>
        <w:divId w:val="453600615"/>
      </w:pPr>
      <w:r>
        <w:t xml:space="preserve">Huang </w:t>
      </w:r>
      <w:proofErr w:type="spellStart"/>
      <w:r>
        <w:t>Yinggu</w:t>
      </w:r>
      <w:proofErr w:type="spellEnd"/>
      <w:r>
        <w:t xml:space="preserve"> </w:t>
      </w:r>
      <w:proofErr w:type="spellStart"/>
      <w:r>
        <w:t>i</w:t>
      </w:r>
      <w:proofErr w:type="spellEnd"/>
      <w:r>
        <w:t>黃應貴</w:t>
      </w:r>
      <w:r>
        <w:t xml:space="preserve"> (Hg.). </w:t>
      </w:r>
      <w:proofErr w:type="spellStart"/>
      <w:r>
        <w:rPr>
          <w:rStyle w:val="Hervorhebung"/>
        </w:rPr>
        <w:t>Kongjian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yu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wenhua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changyu</w:t>
      </w:r>
      <w:proofErr w:type="spellEnd"/>
      <w:r>
        <w:rPr>
          <w:rStyle w:val="Hervorhebung"/>
        </w:rPr>
        <w:t xml:space="preserve">: </w:t>
      </w:r>
      <w:proofErr w:type="spellStart"/>
      <w:r>
        <w:rPr>
          <w:rStyle w:val="Hervorhebung"/>
        </w:rPr>
        <w:t>kongjian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zhi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yixiang</w:t>
      </w:r>
      <w:proofErr w:type="spellEnd"/>
      <w:r>
        <w:rPr>
          <w:rStyle w:val="Hervorhebung"/>
        </w:rPr>
        <w:t xml:space="preserve">, </w:t>
      </w:r>
      <w:proofErr w:type="spellStart"/>
      <w:r>
        <w:rPr>
          <w:rStyle w:val="Hervorhebung"/>
        </w:rPr>
        <w:t>shijian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yu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shehui</w:t>
      </w:r>
      <w:proofErr w:type="spellEnd"/>
      <w:r>
        <w:rPr>
          <w:rStyle w:val="Hervorhebung"/>
        </w:rPr>
        <w:t xml:space="preserve"> de </w:t>
      </w:r>
      <w:proofErr w:type="spellStart"/>
      <w:r>
        <w:rPr>
          <w:rStyle w:val="Hervorhebung"/>
        </w:rPr>
        <w:t>shengchan</w:t>
      </w:r>
      <w:proofErr w:type="spellEnd"/>
      <w:r>
        <w:t xml:space="preserve"> </w:t>
      </w:r>
      <w:r>
        <w:t>空間與文化場域</w:t>
      </w:r>
      <w:r>
        <w:t xml:space="preserve">: </w:t>
      </w:r>
      <w:r>
        <w:t>空間之意象</w:t>
      </w:r>
      <w:r>
        <w:t xml:space="preserve">, </w:t>
      </w:r>
      <w:r>
        <w:t>實踐與社會的生產</w:t>
      </w:r>
      <w:r>
        <w:t xml:space="preserve"> / </w:t>
      </w:r>
      <w:r>
        <w:rPr>
          <w:rStyle w:val="Hervorhebung"/>
        </w:rPr>
        <w:t>Space and Cultural Fields: Spatial Images, Practices and Social Production</w:t>
      </w:r>
      <w:r>
        <w:t xml:space="preserve">. Taipei: </w:t>
      </w:r>
      <w:proofErr w:type="spellStart"/>
      <w:r>
        <w:t>Hanxue</w:t>
      </w:r>
      <w:proofErr w:type="spellEnd"/>
      <w:r>
        <w:t xml:space="preserve"> </w:t>
      </w:r>
      <w:proofErr w:type="spellStart"/>
      <w:r>
        <w:t>yanjiu</w:t>
      </w:r>
      <w:proofErr w:type="spellEnd"/>
      <w:r>
        <w:t xml:space="preserve"> </w:t>
      </w:r>
      <w:proofErr w:type="spellStart"/>
      <w:r>
        <w:t>zhongxin</w:t>
      </w:r>
      <w:proofErr w:type="spellEnd"/>
      <w:r>
        <w:t xml:space="preserve">, 2009. </w:t>
      </w:r>
    </w:p>
    <w:p w:rsidR="008511D6" w:rsidRDefault="008511D6" w:rsidP="008511D6">
      <w:pPr>
        <w:pStyle w:val="StandardWeb"/>
        <w:divId w:val="453600615"/>
      </w:pPr>
      <w:proofErr w:type="spellStart"/>
      <w:r>
        <w:t>Hymes</w:t>
      </w:r>
      <w:proofErr w:type="spellEnd"/>
      <w:r>
        <w:t xml:space="preserve">, Robert P., und Conrad </w:t>
      </w:r>
      <w:proofErr w:type="spellStart"/>
      <w:r>
        <w:t>Schirokauer</w:t>
      </w:r>
      <w:proofErr w:type="spellEnd"/>
      <w:r>
        <w:t xml:space="preserve"> (Hg.). </w:t>
      </w:r>
      <w:r>
        <w:rPr>
          <w:rStyle w:val="Hervorhebung"/>
        </w:rPr>
        <w:t>Ordering the World: Approaches to State and Society in Sung Dynasty China</w:t>
      </w:r>
      <w:r>
        <w:t>. Berkeley: University of California, 1993.</w:t>
      </w:r>
    </w:p>
    <w:p w:rsidR="008511D6" w:rsidRDefault="008511D6" w:rsidP="008511D6">
      <w:pPr>
        <w:pStyle w:val="StandardWeb"/>
        <w:divId w:val="453600615"/>
      </w:pPr>
      <w:r>
        <w:t xml:space="preserve">McMullen, David. </w:t>
      </w:r>
      <w:r>
        <w:rPr>
          <w:rStyle w:val="Hervorhebung"/>
        </w:rPr>
        <w:t xml:space="preserve">State and Scholars in </w:t>
      </w:r>
      <w:proofErr w:type="spellStart"/>
      <w:r>
        <w:rPr>
          <w:rStyle w:val="Hervorhebung"/>
        </w:rPr>
        <w:t>T’ang</w:t>
      </w:r>
      <w:proofErr w:type="spellEnd"/>
      <w:r>
        <w:rPr>
          <w:rStyle w:val="Hervorhebung"/>
        </w:rPr>
        <w:t xml:space="preserve"> China</w:t>
      </w:r>
      <w:r>
        <w:t>. Cambridge: Cambridge University, 1988.</w:t>
      </w:r>
    </w:p>
    <w:p w:rsidR="008511D6" w:rsidRDefault="008511D6" w:rsidP="008511D6">
      <w:pPr>
        <w:pStyle w:val="StandardWeb"/>
        <w:divId w:val="453600615"/>
      </w:pPr>
      <w:proofErr w:type="spellStart"/>
      <w:r>
        <w:rPr>
          <w:rStyle w:val="Hervorhebung"/>
        </w:rPr>
        <w:t>Mengliang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lu</w:t>
      </w:r>
      <w:proofErr w:type="spellEnd"/>
      <w:r>
        <w:t xml:space="preserve"> </w:t>
      </w:r>
      <w:r>
        <w:t>夢粱錄</w:t>
      </w:r>
      <w:r>
        <w:t xml:space="preserve">, von Wu </w:t>
      </w:r>
      <w:proofErr w:type="spellStart"/>
      <w:r>
        <w:t>Zimu</w:t>
      </w:r>
      <w:proofErr w:type="spellEnd"/>
      <w:r>
        <w:t xml:space="preserve"> </w:t>
      </w:r>
      <w:r>
        <w:t>呉自牧</w:t>
      </w:r>
      <w:r>
        <w:t xml:space="preserve">. </w:t>
      </w:r>
      <w:proofErr w:type="spellStart"/>
      <w:r>
        <w:t>Edn</w:t>
      </w:r>
      <w:proofErr w:type="spellEnd"/>
      <w:r>
        <w:t xml:space="preserve">. </w:t>
      </w:r>
      <w:proofErr w:type="spellStart"/>
      <w:r>
        <w:rPr>
          <w:rStyle w:val="Hervorhebung"/>
        </w:rPr>
        <w:t>Dongjing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menghua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lu</w:t>
      </w:r>
      <w:proofErr w:type="spellEnd"/>
      <w:r>
        <w:rPr>
          <w:rStyle w:val="Hervorhebung"/>
        </w:rPr>
        <w:t xml:space="preserve"> (</w:t>
      </w:r>
      <w:proofErr w:type="spellStart"/>
      <w:r>
        <w:rPr>
          <w:rStyle w:val="Hervorhebung"/>
        </w:rPr>
        <w:t>wai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si</w:t>
      </w:r>
      <w:r>
        <w:rPr>
          <w:rStyle w:val="Hervorhebung"/>
        </w:rPr>
        <w:softHyphen/>
        <w:t>zhong</w:t>
      </w:r>
      <w:proofErr w:type="spellEnd"/>
      <w:r>
        <w:rPr>
          <w:rStyle w:val="Hervorhebung"/>
        </w:rPr>
        <w:t>)</w:t>
      </w:r>
      <w:r>
        <w:t>, 129-328 [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Übersetzung</w:t>
      </w:r>
      <w:proofErr w:type="spellEnd"/>
      <w:r>
        <w:t xml:space="preserve"> ins Japanese </w:t>
      </w:r>
      <w:proofErr w:type="spellStart"/>
      <w:r>
        <w:t>siehe</w:t>
      </w:r>
      <w:proofErr w:type="spellEnd"/>
      <w:r>
        <w:t xml:space="preserve"> </w:t>
      </w:r>
      <w:proofErr w:type="spellStart"/>
      <w:r>
        <w:t>Umehara</w:t>
      </w:r>
      <w:proofErr w:type="spellEnd"/>
      <w:r>
        <w:t xml:space="preserve"> Kaoru]. </w:t>
      </w:r>
    </w:p>
    <w:p w:rsidR="008511D6" w:rsidRDefault="008511D6" w:rsidP="008511D6">
      <w:pPr>
        <w:pStyle w:val="StandardWeb"/>
        <w:divId w:val="453600615"/>
      </w:pPr>
      <w:proofErr w:type="spellStart"/>
      <w:r>
        <w:t>Morohashi</w:t>
      </w:r>
      <w:proofErr w:type="spellEnd"/>
      <w:r>
        <w:t xml:space="preserve">: see </w:t>
      </w:r>
      <w:r>
        <w:rPr>
          <w:rStyle w:val="Hervorhebung"/>
        </w:rPr>
        <w:t xml:space="preserve">Dai </w:t>
      </w:r>
      <w:proofErr w:type="spellStart"/>
      <w:r>
        <w:rPr>
          <w:rStyle w:val="Hervorhebung"/>
        </w:rPr>
        <w:t>Kan-Wa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jiten</w:t>
      </w:r>
      <w:proofErr w:type="spellEnd"/>
      <w:r>
        <w:t>.</w:t>
      </w:r>
    </w:p>
    <w:p w:rsidR="008511D6" w:rsidRDefault="008511D6" w:rsidP="008511D6">
      <w:pPr>
        <w:pStyle w:val="StandardWeb"/>
        <w:divId w:val="453600615"/>
      </w:pPr>
      <w:r>
        <w:rPr>
          <w:rStyle w:val="Hervorhebung"/>
        </w:rPr>
        <w:t xml:space="preserve">Nihon </w:t>
      </w:r>
      <w:proofErr w:type="spellStart"/>
      <w:r>
        <w:rPr>
          <w:rStyle w:val="Hervorhebung"/>
        </w:rPr>
        <w:t>shoki</w:t>
      </w:r>
      <w:proofErr w:type="spellEnd"/>
      <w:r>
        <w:t xml:space="preserve"> </w:t>
      </w:r>
      <w:r>
        <w:t>日本書紀</w:t>
      </w:r>
      <w:r>
        <w:t xml:space="preserve"> [</w:t>
      </w:r>
      <w:proofErr w:type="spellStart"/>
      <w:r>
        <w:t>bzw</w:t>
      </w:r>
      <w:proofErr w:type="spellEnd"/>
      <w:r>
        <w:t xml:space="preserve">.. </w:t>
      </w:r>
      <w:r>
        <w:rPr>
          <w:rStyle w:val="Hervorhebung"/>
        </w:rPr>
        <w:t>Nihongi</w:t>
      </w:r>
      <w:r>
        <w:t xml:space="preserve"> </w:t>
      </w:r>
      <w:r>
        <w:t>日本紀</w:t>
      </w:r>
      <w:r>
        <w:t xml:space="preserve">], von </w:t>
      </w:r>
      <w:proofErr w:type="spellStart"/>
      <w:r>
        <w:t>Toneri-shinnō</w:t>
      </w:r>
      <w:proofErr w:type="spellEnd"/>
      <w:r>
        <w:t xml:space="preserve"> </w:t>
      </w:r>
      <w:r>
        <w:t>舎人親王</w:t>
      </w:r>
      <w:r>
        <w:t xml:space="preserve">, see </w:t>
      </w:r>
      <w:proofErr w:type="spellStart"/>
      <w:r>
        <w:t>Yŏn</w:t>
      </w:r>
      <w:proofErr w:type="spellEnd"/>
      <w:r>
        <w:t>.</w:t>
      </w:r>
    </w:p>
    <w:p w:rsidR="008511D6" w:rsidRDefault="008511D6" w:rsidP="008511D6">
      <w:pPr>
        <w:pStyle w:val="StandardWeb"/>
        <w:divId w:val="453600615"/>
      </w:pPr>
      <w:r>
        <w:t xml:space="preserve">Qian </w:t>
      </w:r>
      <w:proofErr w:type="spellStart"/>
      <w:r>
        <w:t>Cunxun</w:t>
      </w:r>
      <w:proofErr w:type="spellEnd"/>
      <w:r>
        <w:t xml:space="preserve"> [</w:t>
      </w:r>
      <w:proofErr w:type="spellStart"/>
      <w:r>
        <w:t>Tsien</w:t>
      </w:r>
      <w:proofErr w:type="spellEnd"/>
      <w:r>
        <w:t xml:space="preserve">, </w:t>
      </w:r>
      <w:proofErr w:type="spellStart"/>
      <w:r>
        <w:t>Ts’en-hsuin</w:t>
      </w:r>
      <w:proofErr w:type="spellEnd"/>
      <w:r>
        <w:t xml:space="preserve">] </w:t>
      </w:r>
      <w:r>
        <w:t>錢存訓</w:t>
      </w:r>
      <w:r>
        <w:t xml:space="preserve">. </w:t>
      </w:r>
      <w:proofErr w:type="spellStart"/>
      <w:r>
        <w:rPr>
          <w:rStyle w:val="Hervorhebung"/>
        </w:rPr>
        <w:t>Lun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Mingdai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donghuo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ziban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wenti</w:t>
      </w:r>
      <w:proofErr w:type="spellEnd"/>
      <w:r>
        <w:t xml:space="preserve"> </w:t>
      </w:r>
      <w:r>
        <w:t>論明代銅活字板問題</w:t>
      </w:r>
      <w:r>
        <w:t xml:space="preserve">. </w:t>
      </w:r>
      <w:proofErr w:type="spellStart"/>
      <w:r>
        <w:t>Taibei</w:t>
      </w:r>
      <w:proofErr w:type="spellEnd"/>
      <w:r>
        <w:t xml:space="preserve">: Taiwan </w:t>
      </w:r>
      <w:proofErr w:type="spellStart"/>
      <w:r>
        <w:t>xuesheng</w:t>
      </w:r>
      <w:proofErr w:type="spellEnd"/>
      <w:r>
        <w:t>, 1969.</w:t>
      </w:r>
    </w:p>
    <w:p w:rsidR="008511D6" w:rsidRDefault="008511D6" w:rsidP="008511D6">
      <w:pPr>
        <w:pStyle w:val="StandardWeb"/>
        <w:divId w:val="453600615"/>
      </w:pPr>
      <w:r>
        <w:rPr>
          <w:rStyle w:val="Hervorhebung"/>
        </w:rPr>
        <w:t>Shiji</w:t>
      </w:r>
      <w:r>
        <w:t xml:space="preserve"> </w:t>
      </w:r>
      <w:r>
        <w:t>史記</w:t>
      </w:r>
      <w:r>
        <w:t xml:space="preserve">, von </w:t>
      </w:r>
      <w:proofErr w:type="spellStart"/>
      <w:r>
        <w:t>Sima</w:t>
      </w:r>
      <w:proofErr w:type="spellEnd"/>
      <w:r>
        <w:t xml:space="preserve"> Qian </w:t>
      </w:r>
      <w:r>
        <w:t>司馬遷</w:t>
      </w:r>
      <w:r>
        <w:t xml:space="preserve">. Beijing: </w:t>
      </w:r>
      <w:proofErr w:type="spellStart"/>
      <w:r>
        <w:t>Zhonghua</w:t>
      </w:r>
      <w:proofErr w:type="spellEnd"/>
      <w:r>
        <w:t>, 1959.</w:t>
      </w:r>
    </w:p>
    <w:p w:rsidR="008511D6" w:rsidRDefault="008511D6" w:rsidP="008511D6">
      <w:pPr>
        <w:pStyle w:val="StandardWeb"/>
        <w:divId w:val="453600615"/>
      </w:pPr>
      <w:r>
        <w:t xml:space="preserve">Uehara </w:t>
      </w:r>
      <w:proofErr w:type="spellStart"/>
      <w:r>
        <w:t>Kazu</w:t>
      </w:r>
      <w:proofErr w:type="spellEnd"/>
      <w:r>
        <w:t xml:space="preserve"> </w:t>
      </w:r>
      <w:r>
        <w:t>上原和</w:t>
      </w:r>
      <w:r>
        <w:t xml:space="preserve">. </w:t>
      </w:r>
      <w:proofErr w:type="spellStart"/>
      <w:r>
        <w:rPr>
          <w:rStyle w:val="Hervorhebung"/>
        </w:rPr>
        <w:t>Shōtoku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Taishi</w:t>
      </w:r>
      <w:proofErr w:type="spellEnd"/>
      <w:r>
        <w:t xml:space="preserve"> </w:t>
      </w:r>
      <w:r>
        <w:t>聖德太子</w:t>
      </w:r>
      <w:r>
        <w:t xml:space="preserve">. Tōkyō: </w:t>
      </w:r>
      <w:proofErr w:type="spellStart"/>
      <w:r>
        <w:t>Sansaisha</w:t>
      </w:r>
      <w:proofErr w:type="spellEnd"/>
      <w:r>
        <w:t>, 1969.</w:t>
      </w:r>
    </w:p>
    <w:p w:rsidR="008511D6" w:rsidRDefault="008511D6" w:rsidP="008511D6">
      <w:pPr>
        <w:pStyle w:val="StandardWeb"/>
        <w:divId w:val="453600615"/>
      </w:pPr>
      <w:proofErr w:type="spellStart"/>
      <w:r>
        <w:t>Umehara</w:t>
      </w:r>
      <w:proofErr w:type="spellEnd"/>
      <w:r>
        <w:t xml:space="preserve"> Kaoru </w:t>
      </w:r>
      <w:r>
        <w:t>梅原郁</w:t>
      </w:r>
      <w:r>
        <w:t xml:space="preserve"> (Hg.). </w:t>
      </w:r>
      <w:proofErr w:type="spellStart"/>
      <w:r>
        <w:rPr>
          <w:rStyle w:val="Hervorhebung"/>
        </w:rPr>
        <w:t>Muryōroku</w:t>
      </w:r>
      <w:proofErr w:type="spellEnd"/>
      <w:r>
        <w:rPr>
          <w:rStyle w:val="Hervorhebung"/>
        </w:rPr>
        <w:t xml:space="preserve">: </w:t>
      </w:r>
      <w:proofErr w:type="spellStart"/>
      <w:r>
        <w:rPr>
          <w:rStyle w:val="Hervorhebung"/>
        </w:rPr>
        <w:t>Nansō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Rinʼan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hanjōki</w:t>
      </w:r>
      <w:proofErr w:type="spellEnd"/>
      <w:r>
        <w:t xml:space="preserve"> </w:t>
      </w:r>
      <w:r>
        <w:t>夢粱錄</w:t>
      </w:r>
      <w:r>
        <w:t xml:space="preserve">. </w:t>
      </w:r>
      <w:r>
        <w:t>南宋臨安繁昌記</w:t>
      </w:r>
      <w:r>
        <w:t>. 3 vols. Tōkyō: Heibonsha, 2000.</w:t>
      </w:r>
    </w:p>
    <w:p w:rsidR="008511D6" w:rsidRDefault="008511D6" w:rsidP="008511D6">
      <w:pPr>
        <w:pStyle w:val="StandardWeb"/>
        <w:divId w:val="453600615"/>
      </w:pPr>
      <w:r>
        <w:t xml:space="preserve">Wagner, Donald B. </w:t>
      </w:r>
      <w:r>
        <w:rPr>
          <w:rStyle w:val="Hervorhebung"/>
        </w:rPr>
        <w:t>Iron and Steel in Ancient China</w:t>
      </w:r>
      <w:r>
        <w:t xml:space="preserve">. Leiden: Brill, 1993. </w:t>
      </w:r>
    </w:p>
    <w:p w:rsidR="008511D6" w:rsidRDefault="008511D6" w:rsidP="008511D6">
      <w:pPr>
        <w:pStyle w:val="StandardWeb"/>
        <w:divId w:val="453600615"/>
      </w:pPr>
      <w:r>
        <w:t xml:space="preserve">Wagner, Rudolf G. </w:t>
      </w:r>
      <w:r>
        <w:rPr>
          <w:rStyle w:val="Hervorhebung"/>
        </w:rPr>
        <w:t>The Craft of a Chinese Commentator: Wang Bi on the Laozi</w:t>
      </w:r>
      <w:r>
        <w:t>. Albany: SUNY, 2000.</w:t>
      </w:r>
    </w:p>
    <w:p w:rsidR="008511D6" w:rsidRDefault="008511D6" w:rsidP="008511D6">
      <w:pPr>
        <w:pStyle w:val="StandardWeb"/>
        <w:divId w:val="453600615"/>
      </w:pPr>
      <w:r>
        <w:t xml:space="preserve">Yang, Gladys. </w:t>
      </w:r>
      <w:r>
        <w:rPr>
          <w:rStyle w:val="Hervorhebung"/>
        </w:rPr>
        <w:t>Seven Contemporary Chinese Women Writers</w:t>
      </w:r>
      <w:r>
        <w:t>. Beijing: Chinese Literature, 1990.</w:t>
      </w:r>
    </w:p>
    <w:p w:rsidR="008511D6" w:rsidRDefault="008511D6" w:rsidP="008511D6">
      <w:pPr>
        <w:pStyle w:val="StandardWeb"/>
        <w:divId w:val="453600615"/>
      </w:pPr>
      <w:r>
        <w:t xml:space="preserve">Yang, </w:t>
      </w:r>
      <w:proofErr w:type="spellStart"/>
      <w:r>
        <w:t>Xiaoshan</w:t>
      </w:r>
      <w:proofErr w:type="spellEnd"/>
      <w:r>
        <w:t xml:space="preserve">. </w:t>
      </w:r>
      <w:r>
        <w:rPr>
          <w:rStyle w:val="Hervorhebung"/>
        </w:rPr>
        <w:t>Metamorphosis of the Private Sphere: Gardens and Objects in Tang-Song Poetry</w:t>
      </w:r>
      <w:r>
        <w:t>. Cambridge, MA: Harvard University Asia Center, 2003.</w:t>
      </w:r>
    </w:p>
    <w:p w:rsidR="008511D6" w:rsidRDefault="008511D6" w:rsidP="008511D6">
      <w:pPr>
        <w:pStyle w:val="StandardWeb"/>
        <w:divId w:val="453600615"/>
      </w:pPr>
      <w:r>
        <w:t xml:space="preserve">Yang </w:t>
      </w:r>
      <w:proofErr w:type="spellStart"/>
      <w:r>
        <w:t>Xiaoshan</w:t>
      </w:r>
      <w:proofErr w:type="spellEnd"/>
      <w:r>
        <w:t xml:space="preserve"> </w:t>
      </w:r>
      <w:r>
        <w:t>杨晓山</w:t>
      </w:r>
      <w:r>
        <w:t xml:space="preserve">. </w:t>
      </w:r>
      <w:r>
        <w:rPr>
          <w:rStyle w:val="Hervorhebung"/>
        </w:rPr>
        <w:t xml:space="preserve">Siren </w:t>
      </w:r>
      <w:proofErr w:type="spellStart"/>
      <w:r>
        <w:rPr>
          <w:rStyle w:val="Hervorhebung"/>
        </w:rPr>
        <w:t>lingyu</w:t>
      </w:r>
      <w:proofErr w:type="spellEnd"/>
      <w:r>
        <w:rPr>
          <w:rStyle w:val="Hervorhebung"/>
        </w:rPr>
        <w:t xml:space="preserve"> de </w:t>
      </w:r>
      <w:proofErr w:type="spellStart"/>
      <w:r>
        <w:rPr>
          <w:rStyle w:val="Hervorhebung"/>
        </w:rPr>
        <w:t>bianxing</w:t>
      </w:r>
      <w:proofErr w:type="spellEnd"/>
      <w:r>
        <w:rPr>
          <w:rStyle w:val="Hervorhebung"/>
        </w:rPr>
        <w:t xml:space="preserve">: Tang-Song </w:t>
      </w:r>
      <w:proofErr w:type="spellStart"/>
      <w:r>
        <w:rPr>
          <w:rStyle w:val="Hervorhebung"/>
        </w:rPr>
        <w:t>shige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zhong</w:t>
      </w:r>
      <w:proofErr w:type="spellEnd"/>
      <w:r>
        <w:rPr>
          <w:rStyle w:val="Hervorhebung"/>
        </w:rPr>
        <w:t xml:space="preserve"> de </w:t>
      </w:r>
      <w:proofErr w:type="spellStart"/>
      <w:r>
        <w:rPr>
          <w:rStyle w:val="Hervorhebung"/>
        </w:rPr>
        <w:t>yuanlin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yu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wanhao</w:t>
      </w:r>
      <w:proofErr w:type="spellEnd"/>
      <w:r>
        <w:t xml:space="preserve"> </w:t>
      </w:r>
      <w:r>
        <w:t>私人领域的变形</w:t>
      </w:r>
      <w:r>
        <w:t>––</w:t>
      </w:r>
      <w:r>
        <w:t>唐宋诗歌中的园林与玩好</w:t>
      </w:r>
      <w:r>
        <w:t xml:space="preserve">. Nanjing: Jiangsu </w:t>
      </w:r>
      <w:proofErr w:type="spellStart"/>
      <w:r>
        <w:t>renmin</w:t>
      </w:r>
      <w:proofErr w:type="spellEnd"/>
      <w:r>
        <w:t>, 2009.</w:t>
      </w:r>
    </w:p>
    <w:p w:rsidR="008511D6" w:rsidRDefault="008511D6" w:rsidP="008511D6">
      <w:pPr>
        <w:pStyle w:val="StandardWeb"/>
        <w:divId w:val="453600615"/>
      </w:pPr>
      <w:r>
        <w:t xml:space="preserve">Yang </w:t>
      </w:r>
      <w:proofErr w:type="spellStart"/>
      <w:r>
        <w:t>Yinliu</w:t>
      </w:r>
      <w:proofErr w:type="spellEnd"/>
      <w:r>
        <w:t xml:space="preserve"> </w:t>
      </w:r>
      <w:r>
        <w:t>楊蔭瀏</w:t>
      </w:r>
      <w:r>
        <w:t xml:space="preserve">. </w:t>
      </w:r>
      <w:proofErr w:type="spellStart"/>
      <w:r>
        <w:rPr>
          <w:rStyle w:val="Hervorhebung"/>
        </w:rPr>
        <w:t>Yuyan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yu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yinyue</w:t>
      </w:r>
      <w:proofErr w:type="spellEnd"/>
      <w:r>
        <w:t xml:space="preserve"> </w:t>
      </w:r>
      <w:r>
        <w:t>語言與音樂</w:t>
      </w:r>
      <w:r>
        <w:t xml:space="preserve">. Taipei: </w:t>
      </w:r>
      <w:proofErr w:type="spellStart"/>
      <w:r>
        <w:t>Danqing</w:t>
      </w:r>
      <w:proofErr w:type="spellEnd"/>
      <w:r>
        <w:t>, 1986.</w:t>
      </w:r>
    </w:p>
    <w:p w:rsidR="008511D6" w:rsidRDefault="008511D6" w:rsidP="008511D6">
      <w:pPr>
        <w:pStyle w:val="StandardWeb"/>
        <w:divId w:val="453600615"/>
      </w:pPr>
      <w:proofErr w:type="spellStart"/>
      <w:r>
        <w:lastRenderedPageBreak/>
        <w:t>Yŏn</w:t>
      </w:r>
      <w:proofErr w:type="spellEnd"/>
      <w:r>
        <w:t xml:space="preserve"> </w:t>
      </w:r>
      <w:proofErr w:type="spellStart"/>
      <w:r>
        <w:t>Minsu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연민수</w:t>
      </w:r>
      <w:r>
        <w:t xml:space="preserve"> (Hg.). </w:t>
      </w:r>
      <w:proofErr w:type="spellStart"/>
      <w:r>
        <w:rPr>
          <w:rStyle w:val="Hervorhebung"/>
        </w:rPr>
        <w:t>Yŏkchu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Ilbon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sŏgi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역주일본서기</w:t>
      </w:r>
      <w:r>
        <w:t xml:space="preserve">, </w:t>
      </w:r>
      <w:r>
        <w:t>譯註日本書紀</w:t>
      </w:r>
      <w:r>
        <w:t xml:space="preserve">. 3 </w:t>
      </w:r>
      <w:proofErr w:type="spellStart"/>
      <w:r>
        <w:t>Bde</w:t>
      </w:r>
      <w:proofErr w:type="spellEnd"/>
      <w:r>
        <w:t xml:space="preserve">. Seoul: </w:t>
      </w:r>
      <w:proofErr w:type="spellStart"/>
      <w:r>
        <w:t>Tongbuga</w:t>
      </w:r>
      <w:proofErr w:type="spellEnd"/>
      <w:r>
        <w:t xml:space="preserve"> </w:t>
      </w:r>
      <w:proofErr w:type="spellStart"/>
      <w:r>
        <w:t>yŏksa</w:t>
      </w:r>
      <w:proofErr w:type="spellEnd"/>
      <w:r>
        <w:t xml:space="preserve"> </w:t>
      </w:r>
      <w:proofErr w:type="spellStart"/>
      <w:r>
        <w:t>chaedan</w:t>
      </w:r>
      <w:proofErr w:type="spellEnd"/>
      <w:r>
        <w:t>, 2013.</w:t>
      </w:r>
    </w:p>
    <w:p w:rsidR="008511D6" w:rsidRDefault="008511D6" w:rsidP="008511D6">
      <w:pPr>
        <w:pStyle w:val="StandardWeb"/>
        <w:divId w:val="453600615"/>
      </w:pPr>
      <w:proofErr w:type="spellStart"/>
      <w:r>
        <w:rPr>
          <w:rStyle w:val="Hervorhebung"/>
        </w:rPr>
        <w:t>Yueshu</w:t>
      </w:r>
      <w:proofErr w:type="spellEnd"/>
      <w:r>
        <w:t xml:space="preserve"> </w:t>
      </w:r>
      <w:r>
        <w:t>樂書</w:t>
      </w:r>
      <w:r>
        <w:t xml:space="preserve">, von Chen Yang </w:t>
      </w:r>
      <w:r>
        <w:t>陳暘</w:t>
      </w:r>
      <w:r>
        <w:t xml:space="preserve">.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quanshu</w:t>
      </w:r>
      <w:proofErr w:type="spellEnd"/>
      <w:r>
        <w:t xml:space="preserve">, Bd. 211. </w:t>
      </w:r>
    </w:p>
    <w:p w:rsidR="008511D6" w:rsidRDefault="008511D6" w:rsidP="008511D6">
      <w:pPr>
        <w:pStyle w:val="StandardWeb"/>
      </w:pPr>
      <w:r>
        <w:t>[</w:t>
      </w:r>
      <w:proofErr w:type="spellStart"/>
      <w:r>
        <w:t>Monographien</w:t>
      </w:r>
      <w:proofErr w:type="spellEnd"/>
      <w:r>
        <w:t xml:space="preserve"> in </w:t>
      </w:r>
      <w:proofErr w:type="spellStart"/>
      <w:r>
        <w:t>Reihen</w:t>
      </w:r>
      <w:proofErr w:type="spellEnd"/>
      <w:r>
        <w:t>]</w:t>
      </w:r>
    </w:p>
    <w:p w:rsidR="008511D6" w:rsidRDefault="008511D6" w:rsidP="008511D6">
      <w:pPr>
        <w:pStyle w:val="StandardWeb"/>
        <w:divId w:val="1491554751"/>
      </w:pPr>
      <w:proofErr w:type="spellStart"/>
      <w:r>
        <w:t>Tsien</w:t>
      </w:r>
      <w:proofErr w:type="spellEnd"/>
      <w:r>
        <w:t>, Tsuen-</w:t>
      </w:r>
      <w:proofErr w:type="spellStart"/>
      <w:r>
        <w:t>hsuin</w:t>
      </w:r>
      <w:proofErr w:type="spellEnd"/>
      <w:r>
        <w:t xml:space="preserve"> [Qian, </w:t>
      </w:r>
      <w:proofErr w:type="spellStart"/>
      <w:r>
        <w:t>Cunxun</w:t>
      </w:r>
      <w:proofErr w:type="spellEnd"/>
      <w:r>
        <w:t xml:space="preserve">]. </w:t>
      </w:r>
      <w:r>
        <w:rPr>
          <w:rStyle w:val="Hervorhebung"/>
        </w:rPr>
        <w:t>Paper and Printing</w:t>
      </w:r>
      <w:r>
        <w:t xml:space="preserve">. Science and </w:t>
      </w:r>
      <w:proofErr w:type="spellStart"/>
      <w:r>
        <w:t>Civilisation</w:t>
      </w:r>
      <w:proofErr w:type="spellEnd"/>
      <w:r>
        <w:t xml:space="preserve"> in China (hg. von Joseph Needham), Bd. 5: Chemistry and Chemical Technology, </w:t>
      </w:r>
      <w:proofErr w:type="spellStart"/>
      <w:r>
        <w:t>Teil</w:t>
      </w:r>
      <w:proofErr w:type="spellEnd"/>
      <w:r>
        <w:t xml:space="preserve"> 1. Cambridge: Cambridge University, 1985.</w:t>
      </w:r>
    </w:p>
    <w:p w:rsidR="008511D6" w:rsidRDefault="008511D6" w:rsidP="008511D6">
      <w:pPr>
        <w:pStyle w:val="StandardWeb"/>
      </w:pPr>
      <w:r>
        <w:t>[</w:t>
      </w:r>
      <w:proofErr w:type="spellStart"/>
      <w:r>
        <w:t>Artikel</w:t>
      </w:r>
      <w:proofErr w:type="spellEnd"/>
      <w:r>
        <w:t xml:space="preserve"> in </w:t>
      </w:r>
      <w:proofErr w:type="spellStart"/>
      <w:r>
        <w:t>Zeitschriften</w:t>
      </w:r>
      <w:proofErr w:type="spellEnd"/>
      <w:r>
        <w:t>]</w:t>
      </w:r>
    </w:p>
    <w:p w:rsidR="008511D6" w:rsidRDefault="008511D6" w:rsidP="008511D6">
      <w:pPr>
        <w:pStyle w:val="StandardWeb"/>
        <w:divId w:val="509415493"/>
      </w:pPr>
      <w:proofErr w:type="spellStart"/>
      <w:r>
        <w:t>Bol</w:t>
      </w:r>
      <w:proofErr w:type="spellEnd"/>
      <w:r>
        <w:t xml:space="preserve">, Peter K. “Whither the Emperor? Emperor </w:t>
      </w:r>
      <w:proofErr w:type="spellStart"/>
      <w:r>
        <w:t>Huizong</w:t>
      </w:r>
      <w:proofErr w:type="spellEnd"/>
      <w:r>
        <w:t xml:space="preserve">, the New Policies, and the Tang-Song Transition”, </w:t>
      </w:r>
      <w:r>
        <w:rPr>
          <w:rStyle w:val="Hervorhebung"/>
        </w:rPr>
        <w:t>Journal of Song-Yuan Studies</w:t>
      </w:r>
      <w:r>
        <w:t xml:space="preserve"> 31 (2001), 103-134. </w:t>
      </w:r>
    </w:p>
    <w:p w:rsidR="008511D6" w:rsidRDefault="008511D6" w:rsidP="008511D6">
      <w:pPr>
        <w:pStyle w:val="StandardWeb"/>
        <w:divId w:val="509415493"/>
      </w:pPr>
      <w:r>
        <w:t xml:space="preserve">Uehara </w:t>
      </w:r>
      <w:proofErr w:type="spellStart"/>
      <w:r>
        <w:t>Kazu</w:t>
      </w:r>
      <w:proofErr w:type="spellEnd"/>
      <w:r>
        <w:t xml:space="preserve"> </w:t>
      </w:r>
      <w:r>
        <w:t>上原和</w:t>
      </w:r>
      <w:r>
        <w:t>. “</w:t>
      </w:r>
      <w:proofErr w:type="spellStart"/>
      <w:r>
        <w:t>Hōryūji</w:t>
      </w:r>
      <w:proofErr w:type="spellEnd"/>
      <w:r>
        <w:t xml:space="preserve"> to </w:t>
      </w:r>
      <w:proofErr w:type="spellStart"/>
      <w:r>
        <w:t>Tamamushi</w:t>
      </w:r>
      <w:proofErr w:type="spellEnd"/>
      <w:r>
        <w:t xml:space="preserve"> </w:t>
      </w:r>
      <w:proofErr w:type="spellStart"/>
      <w:r>
        <w:t>zushi</w:t>
      </w:r>
      <w:proofErr w:type="spellEnd"/>
      <w:r>
        <w:t xml:space="preserve">” </w:t>
      </w:r>
      <w:r>
        <w:t>法隆寺と玉虫厨子</w:t>
      </w:r>
      <w:r>
        <w:t xml:space="preserve">, </w:t>
      </w:r>
      <w:proofErr w:type="spellStart"/>
      <w:r>
        <w:rPr>
          <w:rStyle w:val="Hervorhebung"/>
        </w:rPr>
        <w:t>Kokka</w:t>
      </w:r>
      <w:proofErr w:type="spellEnd"/>
      <w:r>
        <w:t xml:space="preserve"> </w:t>
      </w:r>
      <w:r>
        <w:t>國華</w:t>
      </w:r>
      <w:r>
        <w:t xml:space="preserve"> 904 (1967:7), 13-30 [</w:t>
      </w:r>
      <w:proofErr w:type="spellStart"/>
      <w:r>
        <w:t>Teil</w:t>
      </w:r>
      <w:proofErr w:type="spellEnd"/>
      <w:r>
        <w:t xml:space="preserve"> 1]; 905 (1967:8), 7-19 [</w:t>
      </w:r>
      <w:proofErr w:type="spellStart"/>
      <w:r>
        <w:t>Teil</w:t>
      </w:r>
      <w:proofErr w:type="spellEnd"/>
      <w:r>
        <w:t xml:space="preserve"> 2]; 906 (1967:9), 23-31 [</w:t>
      </w:r>
      <w:proofErr w:type="spellStart"/>
      <w:r>
        <w:t>Teil</w:t>
      </w:r>
      <w:proofErr w:type="spellEnd"/>
      <w:r>
        <w:t xml:space="preserve"> 3].</w:t>
      </w:r>
    </w:p>
    <w:p w:rsidR="008511D6" w:rsidRDefault="008511D6" w:rsidP="008511D6">
      <w:pPr>
        <w:pStyle w:val="StandardWeb"/>
        <w:divId w:val="509415493"/>
      </w:pPr>
      <w:r>
        <w:t xml:space="preserve">Zhao </w:t>
      </w:r>
      <w:proofErr w:type="spellStart"/>
      <w:r>
        <w:t>Debo</w:t>
      </w:r>
      <w:proofErr w:type="spellEnd"/>
      <w:r>
        <w:t xml:space="preserve"> </w:t>
      </w:r>
      <w:r>
        <w:t>赵德波</w:t>
      </w:r>
      <w:r>
        <w:t>. “</w:t>
      </w:r>
      <w:proofErr w:type="spellStart"/>
      <w:r>
        <w:t>Cai</w:t>
      </w:r>
      <w:proofErr w:type="spellEnd"/>
      <w:r>
        <w:t xml:space="preserve"> Yong ‘</w:t>
      </w:r>
      <w:proofErr w:type="spellStart"/>
      <w:r>
        <w:t>Qincao</w:t>
      </w:r>
      <w:proofErr w:type="spellEnd"/>
      <w:r>
        <w:t xml:space="preserve">, Lu </w:t>
      </w:r>
      <w:proofErr w:type="spellStart"/>
      <w:r>
        <w:t>ming</w:t>
      </w:r>
      <w:proofErr w:type="spellEnd"/>
      <w:r>
        <w:t xml:space="preserve">’ </w:t>
      </w:r>
      <w:proofErr w:type="spellStart"/>
      <w:r>
        <w:t>kaolun</w:t>
      </w:r>
      <w:proofErr w:type="spellEnd"/>
      <w:r>
        <w:t xml:space="preserve">” </w:t>
      </w:r>
      <w:r>
        <w:t>蔡邕《琴操</w:t>
      </w:r>
      <w:r>
        <w:t>·</w:t>
      </w:r>
      <w:r>
        <w:t>鹿鸣》考论</w:t>
      </w:r>
      <w:r>
        <w:t xml:space="preserve">, </w:t>
      </w:r>
      <w:proofErr w:type="spellStart"/>
      <w:r>
        <w:rPr>
          <w:rStyle w:val="Hervorhebung"/>
        </w:rPr>
        <w:t>Xueshu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jiaoliu</w:t>
      </w:r>
      <w:proofErr w:type="spellEnd"/>
      <w:r>
        <w:t xml:space="preserve"> </w:t>
      </w:r>
      <w:r>
        <w:t>学术交流</w:t>
      </w:r>
      <w:r>
        <w:t xml:space="preserve">2010:3 [no. 192], 141-145 [Zhao 2010 (1)]. </w:t>
      </w:r>
    </w:p>
    <w:p w:rsidR="008511D6" w:rsidRDefault="008511D6" w:rsidP="008511D6">
      <w:pPr>
        <w:pStyle w:val="StandardWeb"/>
        <w:divId w:val="509415493"/>
      </w:pPr>
      <w:r>
        <w:t>———. “</w:t>
      </w:r>
      <w:proofErr w:type="spellStart"/>
      <w:r>
        <w:t>Cai</w:t>
      </w:r>
      <w:proofErr w:type="spellEnd"/>
      <w:r>
        <w:t xml:space="preserve"> Yong ‘</w:t>
      </w:r>
      <w:proofErr w:type="spellStart"/>
      <w:r>
        <w:t>Qincao</w:t>
      </w:r>
      <w:proofErr w:type="spellEnd"/>
      <w:r>
        <w:t xml:space="preserve">, </w:t>
      </w:r>
      <w:proofErr w:type="spellStart"/>
      <w:r>
        <w:t>Zhi</w:t>
      </w:r>
      <w:proofErr w:type="spellEnd"/>
      <w:r>
        <w:t xml:space="preserve"> </w:t>
      </w:r>
      <w:proofErr w:type="spellStart"/>
      <w:r>
        <w:t>chao</w:t>
      </w:r>
      <w:proofErr w:type="spellEnd"/>
      <w:r>
        <w:t xml:space="preserve"> </w:t>
      </w:r>
      <w:proofErr w:type="spellStart"/>
      <w:r>
        <w:t>fei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’ </w:t>
      </w:r>
      <w:proofErr w:type="spellStart"/>
      <w:r>
        <w:t>kaolun</w:t>
      </w:r>
      <w:proofErr w:type="spellEnd"/>
      <w:r>
        <w:t xml:space="preserve">” </w:t>
      </w:r>
      <w:r>
        <w:t>蔡邕《琴操</w:t>
      </w:r>
      <w:r>
        <w:t>·</w:t>
      </w:r>
      <w:r>
        <w:t>雉朝飞操》考论</w:t>
      </w:r>
      <w:r>
        <w:t xml:space="preserve">, </w:t>
      </w:r>
      <w:proofErr w:type="spellStart"/>
      <w:r>
        <w:rPr>
          <w:rStyle w:val="Hervorhebung"/>
        </w:rPr>
        <w:t>Zhongzhou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xuekan</w:t>
      </w:r>
      <w:proofErr w:type="spellEnd"/>
      <w:r>
        <w:t xml:space="preserve"> </w:t>
      </w:r>
      <w:r>
        <w:t>中州学刊</w:t>
      </w:r>
      <w:r>
        <w:t xml:space="preserve"> 179 (2010.5), 200-203 [Zhao 2010 (2)].</w:t>
      </w:r>
    </w:p>
    <w:p w:rsidR="008511D6" w:rsidRDefault="008511D6" w:rsidP="008511D6">
      <w:pPr>
        <w:pStyle w:val="StandardWeb"/>
      </w:pPr>
      <w:r>
        <w:t>[</w:t>
      </w:r>
      <w:proofErr w:type="spellStart"/>
      <w:r>
        <w:t>Artikel</w:t>
      </w:r>
      <w:proofErr w:type="spellEnd"/>
      <w:r>
        <w:t xml:space="preserve"> und </w:t>
      </w:r>
      <w:proofErr w:type="spellStart"/>
      <w:r>
        <w:t>Einzeltexte</w:t>
      </w:r>
      <w:proofErr w:type="spellEnd"/>
      <w:r>
        <w:t xml:space="preserve"> in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Bänden</w:t>
      </w:r>
      <w:proofErr w:type="spellEnd"/>
      <w:r>
        <w:t>]</w:t>
      </w:r>
    </w:p>
    <w:p w:rsidR="008511D6" w:rsidRDefault="008511D6" w:rsidP="008511D6">
      <w:pPr>
        <w:pStyle w:val="StandardWeb"/>
        <w:divId w:val="746150569"/>
      </w:pPr>
      <w:proofErr w:type="spellStart"/>
      <w:r>
        <w:t>Bol</w:t>
      </w:r>
      <w:proofErr w:type="spellEnd"/>
      <w:r>
        <w:t xml:space="preserve">, Peter K. “Geography and Culture: The Middle-Period Discourse on the </w:t>
      </w:r>
      <w:proofErr w:type="spellStart"/>
      <w:r>
        <w:rPr>
          <w:rStyle w:val="Hervorhebung"/>
        </w:rPr>
        <w:t>Zhong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guo</w:t>
      </w:r>
      <w:proofErr w:type="spellEnd"/>
      <w:r>
        <w:t xml:space="preserve"> – the Central Country”, in: Huang 2009, 61-106.</w:t>
      </w:r>
    </w:p>
    <w:p w:rsidR="008511D6" w:rsidRDefault="008511D6" w:rsidP="008511D6">
      <w:pPr>
        <w:pStyle w:val="StandardWeb"/>
        <w:divId w:val="746150569"/>
      </w:pPr>
      <w:r>
        <w:t xml:space="preserve">“Daren </w:t>
      </w:r>
      <w:proofErr w:type="spellStart"/>
      <w:r>
        <w:t>fu</w:t>
      </w:r>
      <w:proofErr w:type="spellEnd"/>
      <w:r>
        <w:t xml:space="preserve">” </w:t>
      </w:r>
      <w:r>
        <w:t>大人賦</w:t>
      </w:r>
      <w:r>
        <w:t xml:space="preserve">, von </w:t>
      </w:r>
      <w:proofErr w:type="spellStart"/>
      <w:r>
        <w:t>Sima</w:t>
      </w:r>
      <w:proofErr w:type="spellEnd"/>
      <w:r>
        <w:t xml:space="preserve"> </w:t>
      </w:r>
      <w:proofErr w:type="spellStart"/>
      <w:r>
        <w:t>Xiangru</w:t>
      </w:r>
      <w:proofErr w:type="spellEnd"/>
      <w:r>
        <w:t xml:space="preserve"> </w:t>
      </w:r>
      <w:r>
        <w:t>司馬相如</w:t>
      </w:r>
      <w:r>
        <w:t xml:space="preserve">, in: </w:t>
      </w:r>
      <w:r>
        <w:rPr>
          <w:rStyle w:val="Hervorhebung"/>
        </w:rPr>
        <w:t>Shiji</w:t>
      </w:r>
      <w:r>
        <w:t xml:space="preserve"> 117/3056-3062.</w:t>
      </w:r>
    </w:p>
    <w:p w:rsidR="008511D6" w:rsidRDefault="008511D6" w:rsidP="008511D6">
      <w:pPr>
        <w:pStyle w:val="StandardWeb"/>
      </w:pPr>
      <w:r>
        <w:t>[</w:t>
      </w:r>
      <w:proofErr w:type="spellStart"/>
      <w:r>
        <w:t>Unveröffentlichte</w:t>
      </w:r>
      <w:proofErr w:type="spellEnd"/>
      <w:r>
        <w:t xml:space="preserve"> </w:t>
      </w:r>
      <w:proofErr w:type="spellStart"/>
      <w:r>
        <w:t>Dissertationen</w:t>
      </w:r>
      <w:proofErr w:type="spellEnd"/>
      <w:r>
        <w:t xml:space="preserve"> und </w:t>
      </w:r>
      <w:proofErr w:type="spellStart"/>
      <w:r>
        <w:t>informell</w:t>
      </w:r>
      <w:proofErr w:type="spellEnd"/>
      <w:r>
        <w:t xml:space="preserve"> </w:t>
      </w:r>
      <w:proofErr w:type="spellStart"/>
      <w:r>
        <w:t>veröffentlichte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, </w:t>
      </w:r>
      <w:proofErr w:type="spellStart"/>
      <w:r>
        <w:t>Internetpublikationen</w:t>
      </w:r>
      <w:proofErr w:type="spellEnd"/>
      <w:r>
        <w:t>]</w:t>
      </w:r>
    </w:p>
    <w:p w:rsidR="008511D6" w:rsidRDefault="008511D6" w:rsidP="008511D6">
      <w:pPr>
        <w:pStyle w:val="StandardWeb"/>
        <w:divId w:val="762412566"/>
      </w:pPr>
      <w:proofErr w:type="spellStart"/>
      <w:r>
        <w:t>Bol</w:t>
      </w:r>
      <w:proofErr w:type="spellEnd"/>
      <w:r>
        <w:t>, Peter K. “Culture and the Way in Eleventh Century China”. PhD diss., Princeton University, 1982.</w:t>
      </w:r>
    </w:p>
    <w:p w:rsidR="008511D6" w:rsidRDefault="008511D6" w:rsidP="008511D6">
      <w:pPr>
        <w:pStyle w:val="StandardWeb"/>
        <w:divId w:val="762412566"/>
      </w:pPr>
      <w:r>
        <w:t>“</w:t>
      </w:r>
      <w:proofErr w:type="spellStart"/>
      <w:r>
        <w:t>Dianzi</w:t>
      </w:r>
      <w:proofErr w:type="spellEnd"/>
      <w:r>
        <w:t xml:space="preserve"> </w:t>
      </w:r>
      <w:proofErr w:type="spellStart"/>
      <w:r>
        <w:t>fojiao</w:t>
      </w:r>
      <w:proofErr w:type="spellEnd"/>
      <w:r>
        <w:t xml:space="preserve"> </w:t>
      </w:r>
      <w:proofErr w:type="spellStart"/>
      <w:r>
        <w:t>cidian</w:t>
      </w:r>
      <w:proofErr w:type="spellEnd"/>
      <w:r>
        <w:t xml:space="preserve"> </w:t>
      </w:r>
      <w:r>
        <w:t>電子佛教辭典</w:t>
      </w:r>
      <w:r>
        <w:t xml:space="preserve"> / Digital Dictionary of Buddhism”, hg. </w:t>
      </w:r>
      <w:proofErr w:type="gramStart"/>
      <w:r>
        <w:t>von</w:t>
      </w:r>
      <w:proofErr w:type="gramEnd"/>
      <w:r>
        <w:t xml:space="preserve"> A. Charles Muller. </w:t>
      </w:r>
      <w:r>
        <w:rPr>
          <w:rStyle w:val="Hervorhebung"/>
        </w:rPr>
        <w:t>www.buddhism-dict.net/ddb</w:t>
      </w:r>
      <w:r>
        <w:t xml:space="preserve">. </w:t>
      </w:r>
    </w:p>
    <w:p w:rsidR="008511D6" w:rsidRDefault="008511D6" w:rsidP="008511D6">
      <w:pPr>
        <w:pStyle w:val="StandardWeb"/>
        <w:divId w:val="762412566"/>
      </w:pPr>
      <w:r>
        <w:t xml:space="preserve">Feng </w:t>
      </w:r>
      <w:proofErr w:type="spellStart"/>
      <w:r>
        <w:t>Zuozhe</w:t>
      </w:r>
      <w:proofErr w:type="spellEnd"/>
      <w:r>
        <w:t xml:space="preserve"> </w:t>
      </w:r>
      <w:r>
        <w:t>馮佐哲</w:t>
      </w:r>
      <w:r>
        <w:t>. “</w:t>
      </w:r>
      <w:proofErr w:type="spellStart"/>
      <w:r>
        <w:t>Zhapugang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Qingdai</w:t>
      </w:r>
      <w:proofErr w:type="spellEnd"/>
      <w:r>
        <w:t xml:space="preserve"> </w:t>
      </w:r>
      <w:proofErr w:type="spellStart"/>
      <w:r>
        <w:t>Zhong-Ri</w:t>
      </w:r>
      <w:proofErr w:type="spellEnd"/>
      <w:r>
        <w:t xml:space="preserve"> </w:t>
      </w:r>
      <w:proofErr w:type="spellStart"/>
      <w:r>
        <w:t>maoyi</w:t>
      </w:r>
      <w:proofErr w:type="spellEnd"/>
      <w:r>
        <w:t xml:space="preserve"> </w:t>
      </w:r>
      <w:proofErr w:type="spellStart"/>
      <w:r>
        <w:t>wenhua</w:t>
      </w:r>
      <w:proofErr w:type="spellEnd"/>
      <w:r>
        <w:t xml:space="preserve"> </w:t>
      </w:r>
      <w:proofErr w:type="spellStart"/>
      <w:r>
        <w:t>jiaoliu</w:t>
      </w:r>
      <w:proofErr w:type="spellEnd"/>
      <w:r>
        <w:t xml:space="preserve">” </w:t>
      </w:r>
      <w:r>
        <w:t>乍浦港與清代中日貿易文化交流</w:t>
      </w:r>
      <w:r>
        <w:t xml:space="preserve">. </w:t>
      </w:r>
      <w:r>
        <w:rPr>
          <w:rStyle w:val="Hervorhebung"/>
        </w:rPr>
        <w:t>www.historychina.net/qsyj/ztyj/zwgx/2004-06-29/25533.shtm</w:t>
      </w:r>
      <w:r>
        <w:t xml:space="preserve"> [Feng 2004].</w:t>
      </w:r>
    </w:p>
    <w:p w:rsidR="008511D6" w:rsidRPr="00515325" w:rsidRDefault="008511D6" w:rsidP="008511D6">
      <w:pPr>
        <w:pStyle w:val="StandardWeb"/>
        <w:divId w:val="762412566"/>
      </w:pPr>
      <w:r w:rsidRPr="00515325">
        <w:t>Wagner, Rudolf G. “</w:t>
      </w:r>
      <w:proofErr w:type="spellStart"/>
      <w:r w:rsidRPr="00515325">
        <w:t>Philologie</w:t>
      </w:r>
      <w:proofErr w:type="spellEnd"/>
      <w:r w:rsidRPr="00515325">
        <w:t xml:space="preserve">, </w:t>
      </w:r>
      <w:proofErr w:type="spellStart"/>
      <w:r w:rsidRPr="00515325">
        <w:t>Philosophie</w:t>
      </w:r>
      <w:proofErr w:type="spellEnd"/>
      <w:r w:rsidRPr="00515325">
        <w:t xml:space="preserve"> und </w:t>
      </w:r>
      <w:proofErr w:type="spellStart"/>
      <w:r w:rsidRPr="00515325">
        <w:t>Politik</w:t>
      </w:r>
      <w:proofErr w:type="spellEnd"/>
      <w:r w:rsidRPr="00515325">
        <w:t xml:space="preserve"> in der </w:t>
      </w:r>
      <w:proofErr w:type="spellStart"/>
      <w:r w:rsidRPr="00515325">
        <w:t>Zhengshi-Ära</w:t>
      </w:r>
      <w:proofErr w:type="spellEnd"/>
      <w:r w:rsidRPr="00515325">
        <w:t xml:space="preserve"> (240–249): Die Laozi-</w:t>
      </w:r>
      <w:proofErr w:type="spellStart"/>
      <w:r w:rsidRPr="00515325">
        <w:t>Schriften</w:t>
      </w:r>
      <w:proofErr w:type="spellEnd"/>
      <w:r w:rsidRPr="00515325">
        <w:t xml:space="preserve"> des </w:t>
      </w:r>
      <w:proofErr w:type="spellStart"/>
      <w:r w:rsidRPr="00515325">
        <w:t>Philosophen</w:t>
      </w:r>
      <w:proofErr w:type="spellEnd"/>
      <w:r w:rsidRPr="00515325">
        <w:t xml:space="preserve"> Wang Bi”. </w:t>
      </w:r>
      <w:proofErr w:type="spellStart"/>
      <w:r w:rsidRPr="00515325">
        <w:t>Habilitationsschrift</w:t>
      </w:r>
      <w:proofErr w:type="spellEnd"/>
      <w:r w:rsidRPr="00515325">
        <w:t xml:space="preserve">, </w:t>
      </w:r>
      <w:proofErr w:type="spellStart"/>
      <w:r w:rsidRPr="00515325">
        <w:t>Freie</w:t>
      </w:r>
      <w:proofErr w:type="spellEnd"/>
      <w:r w:rsidRPr="00515325">
        <w:t xml:space="preserve"> </w:t>
      </w:r>
      <w:proofErr w:type="spellStart"/>
      <w:r w:rsidRPr="00515325">
        <w:t>Universität</w:t>
      </w:r>
      <w:proofErr w:type="spellEnd"/>
      <w:r w:rsidRPr="00515325">
        <w:t xml:space="preserve"> Berlin, 1980.</w:t>
      </w:r>
    </w:p>
    <w:p w:rsidR="008511D6" w:rsidRPr="00515325" w:rsidRDefault="008511D6" w:rsidP="008511D6">
      <w:pPr>
        <w:pStyle w:val="StandardWeb"/>
        <w:divId w:val="762412566"/>
      </w:pPr>
      <w:r w:rsidRPr="00515325">
        <w:t xml:space="preserve">Zhao </w:t>
      </w:r>
      <w:proofErr w:type="spellStart"/>
      <w:r w:rsidRPr="00515325">
        <w:t>Yuqing</w:t>
      </w:r>
      <w:proofErr w:type="spellEnd"/>
      <w:r w:rsidRPr="00515325">
        <w:t xml:space="preserve"> </w:t>
      </w:r>
      <w:r>
        <w:t>赵玉卿</w:t>
      </w:r>
      <w:r w:rsidRPr="00515325">
        <w:t xml:space="preserve">.“Jiang </w:t>
      </w:r>
      <w:proofErr w:type="spellStart"/>
      <w:r w:rsidRPr="00515325">
        <w:t>Baishi</w:t>
      </w:r>
      <w:proofErr w:type="spellEnd"/>
      <w:r w:rsidRPr="00515325">
        <w:t xml:space="preserve"> </w:t>
      </w:r>
      <w:proofErr w:type="spellStart"/>
      <w:r w:rsidRPr="00515325">
        <w:t>suzipu</w:t>
      </w:r>
      <w:proofErr w:type="spellEnd"/>
      <w:r w:rsidRPr="00515325">
        <w:t xml:space="preserve"> </w:t>
      </w:r>
      <w:proofErr w:type="spellStart"/>
      <w:r w:rsidRPr="00515325">
        <w:t>gequ</w:t>
      </w:r>
      <w:proofErr w:type="spellEnd"/>
      <w:r w:rsidRPr="00515325">
        <w:t xml:space="preserve"> </w:t>
      </w:r>
      <w:proofErr w:type="spellStart"/>
      <w:r w:rsidRPr="00515325">
        <w:t>yanjiu</w:t>
      </w:r>
      <w:proofErr w:type="spellEnd"/>
      <w:r w:rsidRPr="00515325">
        <w:t xml:space="preserve">” </w:t>
      </w:r>
      <w:r>
        <w:t>姜白石俗字谱歌曲研究</w:t>
      </w:r>
      <w:r w:rsidRPr="00515325">
        <w:t xml:space="preserve">. </w:t>
      </w:r>
      <w:proofErr w:type="spellStart"/>
      <w:r w:rsidRPr="00515325">
        <w:t>Dissertationsschrift</w:t>
      </w:r>
      <w:proofErr w:type="spellEnd"/>
      <w:r w:rsidRPr="00515325">
        <w:t xml:space="preserve">, Shanghai </w:t>
      </w:r>
      <w:proofErr w:type="spellStart"/>
      <w:r w:rsidRPr="00515325">
        <w:t>yinyue</w:t>
      </w:r>
      <w:proofErr w:type="spellEnd"/>
      <w:r w:rsidRPr="00515325">
        <w:t xml:space="preserve"> </w:t>
      </w:r>
      <w:proofErr w:type="spellStart"/>
      <w:r w:rsidRPr="00515325">
        <w:t>xueyuan</w:t>
      </w:r>
      <w:proofErr w:type="spellEnd"/>
      <w:r w:rsidRPr="00515325">
        <w:t xml:space="preserve"> </w:t>
      </w:r>
      <w:r>
        <w:t>上海音乐学院</w:t>
      </w:r>
      <w:r w:rsidRPr="00515325">
        <w:t>, 2010.</w:t>
      </w:r>
    </w:p>
    <w:p w:rsidR="008511D6" w:rsidRPr="00515325" w:rsidRDefault="008511D6" w:rsidP="008511D6">
      <w:pPr>
        <w:pStyle w:val="StandardWeb"/>
      </w:pPr>
      <w:proofErr w:type="spellStart"/>
      <w:r w:rsidRPr="00515325">
        <w:lastRenderedPageBreak/>
        <w:t>Publikationsorte</w:t>
      </w:r>
      <w:proofErr w:type="spellEnd"/>
      <w:r w:rsidRPr="00515325">
        <w:t xml:space="preserve"> </w:t>
      </w:r>
      <w:proofErr w:type="spellStart"/>
      <w:r w:rsidRPr="00515325">
        <w:t>sollten</w:t>
      </w:r>
      <w:proofErr w:type="spellEnd"/>
      <w:r w:rsidRPr="00515325">
        <w:t xml:space="preserve"> </w:t>
      </w:r>
      <w:proofErr w:type="spellStart"/>
      <w:r w:rsidRPr="00515325">
        <w:t>entweder</w:t>
      </w:r>
      <w:proofErr w:type="spellEnd"/>
      <w:r w:rsidRPr="00515325">
        <w:t xml:space="preserve"> </w:t>
      </w:r>
      <w:proofErr w:type="spellStart"/>
      <w:r w:rsidRPr="00515325">
        <w:t>nach</w:t>
      </w:r>
      <w:proofErr w:type="spellEnd"/>
      <w:r w:rsidRPr="00515325">
        <w:t xml:space="preserve"> </w:t>
      </w:r>
      <w:proofErr w:type="spellStart"/>
      <w:r w:rsidRPr="00515325">
        <w:t>dem</w:t>
      </w:r>
      <w:proofErr w:type="spellEnd"/>
      <w:r w:rsidRPr="00515325">
        <w:t xml:space="preserve"> </w:t>
      </w:r>
      <w:proofErr w:type="spellStart"/>
      <w:r w:rsidRPr="00515325">
        <w:t>lokalen</w:t>
      </w:r>
      <w:proofErr w:type="spellEnd"/>
      <w:r w:rsidRPr="00515325">
        <w:t xml:space="preserve"> </w:t>
      </w:r>
      <w:proofErr w:type="spellStart"/>
      <w:r w:rsidRPr="00515325">
        <w:t>Usus</w:t>
      </w:r>
      <w:proofErr w:type="spellEnd"/>
      <w:r w:rsidRPr="00515325">
        <w:t xml:space="preserve"> </w:t>
      </w:r>
      <w:proofErr w:type="spellStart"/>
      <w:r w:rsidRPr="00515325">
        <w:t>oder</w:t>
      </w:r>
      <w:proofErr w:type="spellEnd"/>
      <w:r w:rsidRPr="00515325">
        <w:t xml:space="preserve"> </w:t>
      </w:r>
      <w:proofErr w:type="spellStart"/>
      <w:r w:rsidRPr="00515325">
        <w:t>nach</w:t>
      </w:r>
      <w:proofErr w:type="spellEnd"/>
      <w:r w:rsidRPr="00515325">
        <w:t xml:space="preserve"> den </w:t>
      </w:r>
      <w:proofErr w:type="spellStart"/>
      <w:r w:rsidRPr="00515325">
        <w:t>internationalen</w:t>
      </w:r>
      <w:proofErr w:type="spellEnd"/>
      <w:r w:rsidRPr="00515325">
        <w:t xml:space="preserve"> </w:t>
      </w:r>
      <w:proofErr w:type="spellStart"/>
      <w:r w:rsidRPr="00515325">
        <w:t>akademischen</w:t>
      </w:r>
      <w:proofErr w:type="spellEnd"/>
      <w:r w:rsidRPr="00515325">
        <w:t xml:space="preserve"> </w:t>
      </w:r>
      <w:proofErr w:type="spellStart"/>
      <w:r w:rsidRPr="00515325">
        <w:t>Gepflogenheiten</w:t>
      </w:r>
      <w:proofErr w:type="spellEnd"/>
      <w:r w:rsidRPr="00515325">
        <w:t xml:space="preserve"> </w:t>
      </w:r>
      <w:proofErr w:type="spellStart"/>
      <w:r w:rsidRPr="00515325">
        <w:t>geschrieben</w:t>
      </w:r>
      <w:proofErr w:type="spellEnd"/>
      <w:r w:rsidRPr="00515325">
        <w:t xml:space="preserve"> </w:t>
      </w:r>
      <w:proofErr w:type="spellStart"/>
      <w:r w:rsidRPr="00515325">
        <w:t>werden</w:t>
      </w:r>
      <w:proofErr w:type="spellEnd"/>
      <w:r w:rsidRPr="00515325">
        <w:t xml:space="preserve"> (Beijing – Peking; Firenze – Florence; Gent – Ghent; </w:t>
      </w:r>
      <w:proofErr w:type="spellStart"/>
      <w:r w:rsidRPr="00515325">
        <w:t>Taibei</w:t>
      </w:r>
      <w:proofErr w:type="spellEnd"/>
      <w:r w:rsidRPr="00515325">
        <w:t xml:space="preserve"> – Taipei; Tōkyō – Tokyo). </w:t>
      </w:r>
    </w:p>
    <w:p w:rsidR="008511D6" w:rsidRDefault="008511D6" w:rsidP="008511D6">
      <w:pPr>
        <w:tabs>
          <w:tab w:val="left" w:pos="9346"/>
        </w:tabs>
        <w:rPr>
          <w:lang w:val="de-DE"/>
        </w:rPr>
      </w:pPr>
      <w:r w:rsidRPr="00854499">
        <w:rPr>
          <w:lang w:val="de-DE"/>
        </w:rPr>
        <w:t>Auf die Funktionsfähigkeit der angegebenen Internetseiten sollte an einer Stelle des Beitrags hingewiesen werden, verbunden mit einem gemeinsamen Datum kurz vor Abschluss der Redaktionsphase.</w:t>
      </w:r>
    </w:p>
    <w:p w:rsidR="008511D6" w:rsidRPr="00854499" w:rsidRDefault="008511D6" w:rsidP="008511D6">
      <w:pPr>
        <w:tabs>
          <w:tab w:val="left" w:pos="9346"/>
        </w:tabs>
        <w:rPr>
          <w:rFonts w:eastAsia="Times New Roman"/>
          <w:lang w:val="de-DE"/>
        </w:rPr>
      </w:pPr>
      <w:r w:rsidRPr="00854499">
        <w:rPr>
          <w:lang w:val="de-DE"/>
        </w:rPr>
        <w:tab/>
      </w:r>
      <w:r w:rsidRPr="00854499">
        <w:rPr>
          <w:rFonts w:eastAsia="Times New Roman"/>
          <w:lang w:val="de-DE"/>
        </w:rPr>
        <w:t> </w:t>
      </w:r>
    </w:p>
    <w:p w:rsidR="008511D6" w:rsidRDefault="00515325" w:rsidP="008511D6">
      <w:pPr>
        <w:tabs>
          <w:tab w:val="left" w:pos="9346"/>
        </w:tabs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  <w:r w:rsidR="008511D6">
        <w:rPr>
          <w:rFonts w:eastAsia="Times New Roman"/>
        </w:rPr>
        <w:tab/>
        <w:t> </w:t>
      </w:r>
    </w:p>
    <w:p w:rsidR="00515325" w:rsidRPr="008511D6" w:rsidRDefault="00515325" w:rsidP="00515325">
      <w:pPr>
        <w:tabs>
          <w:tab w:val="left" w:pos="9346"/>
        </w:tabs>
        <w:jc w:val="center"/>
        <w:rPr>
          <w:lang w:val="de-DE"/>
        </w:rPr>
      </w:pPr>
      <w:r w:rsidRPr="008511D6">
        <w:rPr>
          <w:lang w:val="de-DE"/>
        </w:rPr>
        <w:t>(Stand: 20.05.2024)</w:t>
      </w:r>
    </w:p>
    <w:p w:rsidR="008C55A4" w:rsidRDefault="008C55A4">
      <w:pPr>
        <w:rPr>
          <w:rFonts w:eastAsia="Times New Roman"/>
        </w:rPr>
      </w:pPr>
    </w:p>
    <w:sectPr w:rsidR="008C55A4" w:rsidSect="00515325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 Premr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0EFF" w:usb1="4000247B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54499"/>
    <w:rsid w:val="00515325"/>
    <w:rsid w:val="008511D6"/>
    <w:rsid w:val="00854499"/>
    <w:rsid w:val="008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eastAsia="DFKai-SB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il5">
    <w:name w:val="stil5"/>
    <w:basedOn w:val="Standard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stil6">
    <w:name w:val="stil6"/>
    <w:basedOn w:val="Standard"/>
    <w:pPr>
      <w:spacing w:before="100" w:beforeAutospacing="1" w:after="100" w:afterAutospacing="1"/>
    </w:pPr>
    <w:rPr>
      <w:sz w:val="27"/>
      <w:szCs w:val="27"/>
    </w:rPr>
  </w:style>
  <w:style w:type="paragraph" w:customStyle="1" w:styleId="stil7">
    <w:name w:val="stil7"/>
    <w:basedOn w:val="Standard"/>
    <w:pPr>
      <w:spacing w:before="100" w:beforeAutospacing="1" w:after="100" w:afterAutospacing="1"/>
    </w:pPr>
    <w:rPr>
      <w:sz w:val="27"/>
      <w:szCs w:val="27"/>
    </w:rPr>
  </w:style>
  <w:style w:type="paragraph" w:customStyle="1" w:styleId="stil3">
    <w:name w:val="stil3"/>
    <w:basedOn w:val="Standard"/>
    <w:pPr>
      <w:spacing w:before="100" w:beforeAutospacing="1" w:after="100" w:afterAutospacing="1"/>
    </w:pPr>
    <w:rPr>
      <w:color w:val="FFFFFF"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eastAsia="DFKai-SB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il5">
    <w:name w:val="stil5"/>
    <w:basedOn w:val="Standard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stil6">
    <w:name w:val="stil6"/>
    <w:basedOn w:val="Standard"/>
    <w:pPr>
      <w:spacing w:before="100" w:beforeAutospacing="1" w:after="100" w:afterAutospacing="1"/>
    </w:pPr>
    <w:rPr>
      <w:sz w:val="27"/>
      <w:szCs w:val="27"/>
    </w:rPr>
  </w:style>
  <w:style w:type="paragraph" w:customStyle="1" w:styleId="stil7">
    <w:name w:val="stil7"/>
    <w:basedOn w:val="Standard"/>
    <w:pPr>
      <w:spacing w:before="100" w:beforeAutospacing="1" w:after="100" w:afterAutospacing="1"/>
    </w:pPr>
    <w:rPr>
      <w:sz w:val="27"/>
      <w:szCs w:val="27"/>
    </w:rPr>
  </w:style>
  <w:style w:type="paragraph" w:customStyle="1" w:styleId="stil3">
    <w:name w:val="stil3"/>
    <w:basedOn w:val="Standard"/>
    <w:pPr>
      <w:spacing w:before="100" w:beforeAutospacing="1" w:after="100" w:afterAutospacing="1"/>
    </w:pPr>
    <w:rPr>
      <w:color w:val="FFFFFF"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0061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9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56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56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81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75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ORIENTIERUNGEN</vt:lpstr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ORIENTIERUNGEN</dc:title>
  <dc:creator>Martin Hanke</dc:creator>
  <cp:lastModifiedBy> </cp:lastModifiedBy>
  <cp:revision>4</cp:revision>
  <dcterms:created xsi:type="dcterms:W3CDTF">2024-07-04T10:09:00Z</dcterms:created>
  <dcterms:modified xsi:type="dcterms:W3CDTF">2025-05-13T14:47:00Z</dcterms:modified>
</cp:coreProperties>
</file>